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ПРОЕКТ</w:t>
        <w:tab/>
        <w:tab/>
        <w:tab/>
        <w:tab/>
        <w:tab/>
        <w:t xml:space="preserve">    УТВЕРЖДЕН: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Годовым заседанием общего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собрания акционеров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АО «ИНФА-ОТЕЛЬ» «05» июня 2026 г</w:t>
      </w:r>
      <w:r>
        <w:rPr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Протокол № б/н от «__» июня 2026 г.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538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right="0" w:firstLine="538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ПРЕДВАРИТЕЛЬНО УТВЕРЖДЕН: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Советом   директоров АО «ИНФА-ОТЕЛЬ»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«30» апреля 2025 г</w:t>
      </w:r>
      <w:r>
        <w:rPr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Протокол № б/н от «30» апреля 2025 г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Normal"/>
        <w:ind w:right="0" w:firstLine="453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</w:r>
    </w:p>
    <w:p>
      <w:pPr>
        <w:pStyle w:val="Normal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ГОДОВОЙ  ОТЧЕТ</w:t>
      </w:r>
      <w:r>
        <w:rPr>
          <w:b/>
          <w:bCs/>
          <w:sz w:val="48"/>
          <w:szCs w:val="48"/>
        </w:rPr>
      </w:r>
    </w:p>
    <w:p>
      <w:pPr>
        <w:pStyle w:val="Normal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Акционерного общества «ИНФА-ОТЕЛЬ» </w:t>
      </w:r>
      <w:r>
        <w:rPr>
          <w:b/>
          <w:bCs/>
          <w:sz w:val="48"/>
          <w:szCs w:val="4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 xml:space="preserve">по результатам работы за 2025 год</w:t>
      </w: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Ind w:w="426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5811"/>
        <w:gridCol w:w="3269"/>
      </w:tblGrid>
      <w:tr>
        <w:trPr>
          <w:trHeight w:val="47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="20" w:lineRule="atLeast"/>
            </w:pPr>
            <w:r>
              <w:rPr>
                <w:b/>
                <w:bCs/>
                <w:sz w:val="28"/>
                <w:szCs w:val="28"/>
              </w:rPr>
              <w:t xml:space="preserve">Генеральный директор ________________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М.А. Ананьев</w:t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after="120" w:before="0"/>
        <w:ind w:right="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</w:pPr>
      <w:r>
        <w:rPr>
          <w:b/>
          <w:sz w:val="26"/>
          <w:szCs w:val="26"/>
        </w:rPr>
        <w:t xml:space="preserve">СОДЕРЖАНИЕ ГОДОВОГО ОТЧЕТА </w:t>
      </w:r>
    </w:p>
    <w:p>
      <w:pPr>
        <w:pStyle w:val="TOC1"/>
      </w:pPr>
      <w:r>
        <w:fldChar w:fldCharType="begin"/>
      </w:r>
      <w:r>
        <w:instrText xml:space="preserve"> TOC \o "1-4" \f \u </w:instrText>
      </w:r>
      <w:r>
        <w:fldChar w:fldCharType="separate"/>
      </w:r>
      <w:r>
        <w:t xml:space="preserve">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Положение АО "ИНФА-ОТЕЛЬ" в отрасли.</w:t>
        <w:tab/>
      </w:r>
    </w:p>
    <w:p>
      <w:pPr>
        <w:pStyle w:val="TOC2"/>
        <w:tabs>
          <w:tab w:val="left" w:leader="none" w:pos="960"/>
          <w:tab w:val="right" w:leader="dot" w:pos="10308"/>
        </w:tabs>
      </w:pPr>
      <w:r>
        <w:t xml:space="preserve">I.1.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t xml:space="preserve">Общие тенденции развития экономики в целом и отрасли в 2025 году.</w:t>
        <w:tab/>
      </w:r>
      <w:r>
        <w:fldChar w:fldCharType="begin"/>
      </w:r>
      <w:r>
        <w:instrText xml:space="preserve"> HYPERLINK  \l "__RefHeading___Toc512432115"</w:instrText>
      </w:r>
      <w:r>
        <w:fldChar w:fldCharType="separate"/>
      </w:r>
      <w:r>
        <w:t xml:space="preserve">3</w:t>
      </w:r>
      <w:r>
        <w:fldChar w:fldCharType="end"/>
      </w:r>
    </w:p>
    <w:p>
      <w:pPr>
        <w:pStyle w:val="TOC2"/>
        <w:tabs>
          <w:tab w:val="left" w:leader="none" w:pos="960"/>
          <w:tab w:val="right" w:leader="dot" w:pos="10308"/>
        </w:tabs>
      </w:pPr>
      <w:r>
        <w:t xml:space="preserve">I.2.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t xml:space="preserve">Оценка  развития гостиничного направления Отеля «Савой» в 2025 году на фоне общеотраслевых тенденций.</w:t>
        <w:tab/>
        <w:t xml:space="preserve">5</w:t>
      </w:r>
    </w:p>
    <w:p>
      <w:pPr>
        <w:pStyle w:val="TOC3"/>
        <w:tabs>
          <w:tab w:val="left" w:leader="none" w:pos="1200"/>
          <w:tab w:val="right" w:leader="dot" w:pos="10308"/>
        </w:tabs>
      </w:pPr>
      <w:r>
        <w:t xml:space="preserve">I.2.1</w:t>
      </w:r>
      <w:r>
        <w:rPr>
          <w:rFonts w:ascii="Calibri" w:hAnsi="Calibri" w:cs="Calibri"/>
          <w:i w:val="0"/>
          <w:iCs w:val="0"/>
          <w:sz w:val="22"/>
          <w:szCs w:val="22"/>
        </w:rPr>
        <w:tab/>
      </w:r>
      <w:r>
        <w:t xml:space="preserve">Сильные стороны или преимущества комплекса:</w:t>
        <w:tab/>
        <w:t xml:space="preserve">5</w:t>
      </w:r>
    </w:p>
    <w:p>
      <w:pPr>
        <w:pStyle w:val="TOC3"/>
        <w:tabs>
          <w:tab w:val="left" w:leader="none" w:pos="1200"/>
          <w:tab w:val="right" w:leader="dot" w:pos="10308"/>
        </w:tabs>
      </w:pPr>
      <w:r>
        <w:t xml:space="preserve">I.2.2</w:t>
      </w:r>
      <w:r>
        <w:rPr>
          <w:rFonts w:ascii="Calibri" w:hAnsi="Calibri" w:cs="Calibri"/>
          <w:i w:val="0"/>
          <w:iCs w:val="0"/>
          <w:sz w:val="22"/>
          <w:szCs w:val="22"/>
        </w:rPr>
        <w:tab/>
      </w:r>
      <w:r>
        <w:t xml:space="preserve">Угрозы:</w:t>
        <w:tab/>
        <w:t xml:space="preserve">5</w:t>
      </w:r>
    </w:p>
    <w:p>
      <w:pPr>
        <w:pStyle w:val="TOC3"/>
        <w:tabs>
          <w:tab w:val="left" w:leader="none" w:pos="1200"/>
          <w:tab w:val="right" w:leader="dot" w:pos="10308"/>
        </w:tabs>
      </w:pPr>
      <w:r>
        <w:t xml:space="preserve">I.2.3</w:t>
      </w:r>
      <w:r>
        <w:rPr>
          <w:rFonts w:ascii="Calibri" w:hAnsi="Calibri" w:cs="Calibri"/>
          <w:i w:val="0"/>
          <w:iCs w:val="0"/>
          <w:sz w:val="22"/>
          <w:szCs w:val="22"/>
        </w:rPr>
        <w:tab/>
      </w:r>
      <w:r>
        <w:t xml:space="preserve">Динамика показателя загрузки</w:t>
        <w:tab/>
        <w:t xml:space="preserve">6</w:t>
      </w:r>
    </w:p>
    <w:p>
      <w:pPr>
        <w:pStyle w:val="TOC3"/>
        <w:tabs>
          <w:tab w:val="left" w:leader="none" w:pos="1200"/>
          <w:tab w:val="right" w:leader="dot" w:pos="10308"/>
        </w:tabs>
        <w:rPr>
          <w:b/>
          <w:bCs/>
        </w:rPr>
      </w:pPr>
      <w:r>
        <w:t xml:space="preserve">I.2.4</w:t>
      </w:r>
      <w:r>
        <w:rPr>
          <w:rFonts w:ascii="Calibri" w:hAnsi="Calibri" w:cs="Calibri"/>
          <w:i w:val="0"/>
          <w:iCs w:val="0"/>
          <w:sz w:val="22"/>
          <w:szCs w:val="22"/>
        </w:rPr>
        <w:tab/>
      </w:r>
      <w:r>
        <w:t xml:space="preserve">Анализ продаж 2025 года в разрезе сегментов</w:t>
        <w:tab/>
        <w:t xml:space="preserve">9</w:t>
      </w:r>
      <w:r>
        <w:rPr>
          <w:b/>
          <w:bCs/>
        </w:rPr>
      </w:r>
    </w:p>
    <w:p>
      <w:pPr>
        <w:pStyle w:val="TOC2"/>
        <w:tabs>
          <w:tab w:val="left" w:leader="none" w:pos="720"/>
          <w:tab w:val="right" w:leader="dot" w:pos="10308"/>
        </w:tabs>
        <w:rPr>
          <w:b/>
          <w:bCs/>
        </w:rPr>
      </w:pPr>
      <w:r>
        <w:rPr>
          <w:b/>
          <w:bCs/>
        </w:rPr>
        <w:t xml:space="preserve">II.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rPr>
          <w:b/>
          <w:bCs/>
        </w:rPr>
        <w:t xml:space="preserve">Отчет Совета Директоров АО «ИНФА-ОТЕЛЬ»  о результатах развития Общества по</w:t>
      </w:r>
      <w:r>
        <w:rPr>
          <w:b/>
        </w:rPr>
        <w:t xml:space="preserve"> приоритетным направлениям деятельности</w:t>
      </w:r>
      <w:r>
        <w:tab/>
        <w:t xml:space="preserve">11</w:t>
      </w:r>
      <w:r>
        <w:rPr>
          <w:b/>
          <w:bCs/>
        </w:rPr>
      </w:r>
    </w:p>
    <w:p>
      <w:pPr>
        <w:pStyle w:val="TOC2"/>
        <w:tabs>
          <w:tab w:val="left" w:leader="none" w:pos="960"/>
          <w:tab w:val="right" w:leader="dot" w:pos="10308"/>
        </w:tabs>
        <w:rPr>
          <w:b/>
          <w:bCs/>
        </w:rPr>
      </w:pPr>
      <w:r>
        <w:rPr>
          <w:b/>
          <w:bCs/>
        </w:rPr>
        <w:t xml:space="preserve">II.1.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rPr>
          <w:b/>
          <w:bCs/>
          <w:lang w:val="en-US"/>
        </w:rPr>
        <w:t xml:space="preserve">Сравнение показателей дохода от продажи номерного фонда Отеля «Савой» за 20</w:t>
      </w:r>
      <w:r>
        <w:rPr>
          <w:b/>
          <w:bCs/>
        </w:rPr>
        <w:t xml:space="preserve">21</w:t>
      </w:r>
      <w:r>
        <w:rPr>
          <w:b/>
          <w:bCs/>
          <w:lang w:val="en-US"/>
        </w:rPr>
        <w:t xml:space="preserve">-20</w:t>
      </w:r>
      <w:r>
        <w:rPr>
          <w:b/>
          <w:bCs/>
        </w:rPr>
        <w:t xml:space="preserve">25</w:t>
      </w:r>
      <w:r>
        <w:rPr>
          <w:b/>
          <w:bCs/>
          <w:lang w:val="en-US"/>
        </w:rPr>
        <w:t xml:space="preserve"> г</w:t>
      </w:r>
      <w:r>
        <w:rPr>
          <w:b/>
          <w:bCs/>
        </w:rPr>
        <w:t xml:space="preserve">.</w:t>
      </w:r>
      <w:r>
        <w:rPr>
          <w:b/>
          <w:bCs/>
          <w:lang w:val="en-US"/>
        </w:rPr>
        <w:t xml:space="preserve">г.</w:t>
      </w:r>
      <w:r>
        <w:tab/>
        <w:t xml:space="preserve">11</w:t>
      </w:r>
      <w:r>
        <w:rPr>
          <w:b/>
          <w:bCs/>
        </w:rPr>
      </w:r>
    </w:p>
    <w:p>
      <w:pPr>
        <w:pStyle w:val="TOC2"/>
        <w:tabs>
          <w:tab w:val="left" w:leader="none" w:pos="960"/>
          <w:tab w:val="right" w:leader="dot" w:pos="10308"/>
        </w:tabs>
      </w:pPr>
      <w:r>
        <w:rPr>
          <w:b/>
          <w:bCs/>
        </w:rPr>
        <w:t xml:space="preserve">II.2.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rPr>
          <w:b/>
          <w:bCs/>
          <w:lang w:val="en-US"/>
        </w:rPr>
        <w:t xml:space="preserve">Сравнение </w:t>
      </w:r>
      <w:r>
        <w:rPr>
          <w:b/>
          <w:bCs/>
        </w:rPr>
        <w:t xml:space="preserve">основных </w:t>
      </w:r>
      <w:r>
        <w:rPr>
          <w:b/>
          <w:bCs/>
          <w:lang w:val="en-US"/>
        </w:rPr>
        <w:t xml:space="preserve">показателей </w:t>
      </w:r>
      <w:r>
        <w:rPr>
          <w:b/>
          <w:bCs/>
        </w:rPr>
        <w:t xml:space="preserve">продаж</w:t>
      </w:r>
      <w:r>
        <w:rPr>
          <w:b/>
          <w:bCs/>
          <w:lang w:val="en-US"/>
        </w:rPr>
        <w:t xml:space="preserve"> номерного фонда Отеля «Савой» за 20</w:t>
      </w:r>
      <w:r>
        <w:rPr>
          <w:b/>
          <w:bCs/>
        </w:rPr>
        <w:t xml:space="preserve">21</w:t>
      </w:r>
      <w:r>
        <w:rPr>
          <w:b/>
          <w:bCs/>
          <w:lang w:val="en-US"/>
        </w:rPr>
        <w:t xml:space="preserve">-20</w:t>
      </w:r>
      <w:r>
        <w:rPr>
          <w:b/>
          <w:bCs/>
        </w:rPr>
        <w:t xml:space="preserve">25</w:t>
      </w:r>
      <w:r>
        <w:rPr>
          <w:b/>
          <w:bCs/>
          <w:lang w:val="en-US"/>
        </w:rPr>
        <w:t xml:space="preserve"> г</w:t>
      </w:r>
      <w:r>
        <w:rPr>
          <w:b/>
          <w:bCs/>
        </w:rPr>
        <w:t xml:space="preserve">.</w:t>
      </w:r>
      <w:r>
        <w:rPr>
          <w:b/>
          <w:bCs/>
          <w:lang w:val="en-US"/>
        </w:rPr>
        <w:t xml:space="preserve">г.</w:t>
      </w:r>
      <w:r>
        <w:tab/>
        <w:t xml:space="preserve">11</w:t>
      </w:r>
    </w:p>
    <w:p>
      <w:pPr>
        <w:pStyle w:val="TOC1"/>
      </w:pPr>
      <w:r>
        <w:t xml:space="preserve">III.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Информация об объеме каждого из энергоресурсов, использованных в отчетном году.</w:t>
        <w:tab/>
        <w:t xml:space="preserve">12</w:t>
      </w:r>
    </w:p>
    <w:p>
      <w:pPr>
        <w:pStyle w:val="TOC1"/>
      </w:pPr>
      <w:r>
        <w:t xml:space="preserve">IV.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Перспективы развития отрасли и АО "ИНФА-ОТЕЛЬ" на 2026 год.</w:t>
        <w:tab/>
        <w:t xml:space="preserve">12</w:t>
      </w:r>
    </w:p>
    <w:p>
      <w:pPr>
        <w:pStyle w:val="TOC1"/>
      </w:pPr>
      <w:r>
        <w:t xml:space="preserve">V.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Отчет о выплате объявленных (начисленных дивидендов по акциям АО "ИНФА-ОТЕЛЬ"</w:t>
        <w:tab/>
        <w:t xml:space="preserve">12</w:t>
      </w:r>
    </w:p>
    <w:p>
      <w:pPr>
        <w:pStyle w:val="TOC1"/>
      </w:pPr>
      <w:r>
        <w:t xml:space="preserve">VI.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Описание основных факторов риска, связанных с деятельностью АО "ИНФА-ОТЕЛЬ"</w:t>
        <w:tab/>
        <w:t xml:space="preserve">13</w:t>
      </w:r>
    </w:p>
    <w:p>
      <w:pPr>
        <w:pStyle w:val="TOC1"/>
      </w:pPr>
      <w:r>
        <w:t xml:space="preserve">VII.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Перечень совершенных АО "ИНФА-ОТЕЛЬ" в отчетном году сделок, признаваемых в соответствии с Федеральным законом "Об акционерных обществах" крупными сделками, а также иных сделок, на совершение которых в соответствии с уставом ОАО "ИНФА-ОТЕЛЬ" распространяется порядок одобрения крупных сделок, с указанием по каждой сделке ее существенных условий и органа управления  акционерного общества , принявшего решение о ее одобрении</w:t>
        <w:tab/>
        <w:t xml:space="preserve">13</w:t>
      </w:r>
    </w:p>
    <w:p>
      <w:pPr>
        <w:pStyle w:val="TOC1"/>
      </w:pPr>
      <w:r>
        <w:t xml:space="preserve">VIII.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Перечень совершенных АО "ИНФА-ОТЕЛЬ" в отчетном году сделок, признаваемых в соответствии с Федеральным законом "Об акционерных обществах" сделками, в совершении которых имелась заинтересованность, с указанием по каждой сделке заинтересованного лица (лиц), существенных условий  и органа управления акционерного общества, принявшего решение о ее одобрении.</w:t>
        <w:tab/>
        <w:t xml:space="preserve">13</w:t>
      </w:r>
    </w:p>
    <w:p>
      <w:pPr>
        <w:pStyle w:val="TOC1"/>
      </w:pPr>
      <w:r>
        <w:t xml:space="preserve">IX.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Состав совета директоров АО "ИНФА-ОТЕЛЬ</w:t>
        <w:tab/>
        <w:t xml:space="preserve">13</w:t>
      </w:r>
    </w:p>
    <w:p>
      <w:pPr>
        <w:pStyle w:val="TOC1"/>
      </w:pPr>
      <w:r>
        <w:t xml:space="preserve">X.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Сведения о Генеральном директоре АО "ИНФА-ОТЕЛЬ"</w:t>
        <w:tab/>
        <w:t xml:space="preserve">14</w:t>
      </w:r>
    </w:p>
    <w:p>
      <w:pPr>
        <w:pStyle w:val="TOC1"/>
      </w:pPr>
      <w:r>
        <w:t xml:space="preserve">XI.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Критерии определения и размер вознаграждения (компенсации расходов)  Генерального директора, и каждого члена совета директоров АО "ИНФА-ОТЕЛЬ" или общий размер вознаграждения (компенсации расходов) всех этих лиц, выплаченного или выплачиваемого по результатам отчетного года</w:t>
        <w:tab/>
        <w:t xml:space="preserve">14</w:t>
      </w:r>
    </w:p>
    <w:p>
      <w:pPr>
        <w:pStyle w:val="TOC1"/>
      </w:pPr>
      <w:r>
        <w:t xml:space="preserve">XII.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Сведения о соблюдении АО "ИНФА-ОТЕЛЬ" Кодекса корпоративного управления.</w:t>
        <w:tab/>
        <w:t xml:space="preserve">14</w:t>
      </w:r>
    </w:p>
    <w:p>
      <w:pPr>
        <w:pStyle w:val="TOC1"/>
      </w:pPr>
      <w:r>
        <w:t xml:space="preserve">XI</w:t>
      </w:r>
      <w:r>
        <w:rPr>
          <w:lang w:val="en-US"/>
        </w:rPr>
        <w:t xml:space="preserve">I</w:t>
      </w:r>
      <w:r>
        <w:t xml:space="preserve">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Сведения оБ УТВЕРЖДЕНИИ ГОДОВОГО ОТЧЕТА ОБЩИМ СОБРАНИЕМ АКЦИОНЕРОВ ОБщЕСТВА, А ТАК ЖЕ ИНАЯ ИНФОРМАЦИЯ ПРЕДУСМОТРЕННАЯ УСТАВОМ ИЛИ ВНУТРЕННИМИ ДОКУМЕНТАМИ ОБЩЕСТВА.</w:t>
        <w:tab/>
        <w:t xml:space="preserve">15</w:t>
      </w: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  <w:r>
        <w:fldChar w:fldCharType="end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5"/>
        </w:numPr>
        <w:tabs>
          <w:tab w:val="left" w:leader="none" w:pos="774"/>
          <w:tab w:val="left" w:leader="none" w:pos="9422"/>
        </w:tabs>
        <w:spacing w:after="120" w:before="120"/>
        <w:ind w:right="0" w:hanging="431" w:left="788"/>
        <w:jc w:val="center"/>
      </w:pPr>
      <w:bookmarkStart w:id="0" w:name="__RefHeading___Toc512432115"/>
      <w:bookmarkEnd w:id="0"/>
      <w:r>
        <w:t xml:space="preserve">Общие тенденции развития </w:t>
      </w:r>
      <w:r>
        <w:rPr>
          <w:lang w:val="ru-RU"/>
        </w:rPr>
        <w:t xml:space="preserve">экономики в целом и </w:t>
      </w:r>
      <w:r>
        <w:t xml:space="preserve">отрасли в </w:t>
      </w:r>
      <w:r>
        <w:rPr>
          <w:lang w:val="ru-RU"/>
        </w:rPr>
        <w:t xml:space="preserve">2025 </w:t>
      </w:r>
      <w:r>
        <w:t xml:space="preserve">оду.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2025 год стал годом структурной перестройки и умеренного роста российской экономики. После периода бурного восстановления в 2023–2024 годах экономическая активность замедлилась, а фокус сместился с экстенсивного роста на повышение эффективности, технологическую независимость и региональное развитие. В этом контексте внутренний туризм продолжал оставаться одной из ключевых драйверов потребительской активности и инвестиционной привлекательности регионов.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ascii="Times New Roman" w:hAnsi="Times New Roman" w:cs="Times New Roman"/>
        </w:rPr>
      </w:pPr>
      <w:r>
        <w:rPr>
          <w:i/>
        </w:rPr>
        <w:t xml:space="preserve">Экономическая среда в 2025 году: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Умеренный рост ВВП. По данным Росстата, рост ВВП в 2025 году составил около 1%. Экономика перешла от фазы восстановления к стадии фрагментации, где динамика определялась не столько общими макроэкономическими факторами, сколько региональной специализацией и отраслевыми трендами.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1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Высокая ключевая ставка. Банк России впервые с 2022 года поднял ключевую ставку до 21% в апреле 2025 года, что привело к удорожанию кредитов и повлияло на инвестиционную активность, включая проекты в сфере туризма.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1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Технологический суверенитет. В 2025 году запущены 8 национальных проектов технологического лидерства, включая ИИ, новые материалы, беспилотные системы и космос. Это повлияло и на туризм — рост внедрения искусственного интеллекта в сервис: чат-боты, персонализированные предложения, автоматизация бронирования.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1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b/>
        </w:rPr>
      </w:pPr>
      <w:r>
        <w:rPr>
          <w:rFonts w:ascii="Times New Roman" w:hAnsi="Times New Roman" w:cs="Times New Roman"/>
        </w:rPr>
        <w:t xml:space="preserve">Региональная дифференциация. Позитивная динамика наблюдалась в Центральном, Северо-Западном, Приволжском и Дальневосточном округах. В то время как в Сибири и на Урале промышленное производство сокращалось, что косвенно сказывалось на деловой активности и командировках.</w:t>
      </w: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center"/>
        <w:rPr>
          <w:b/>
        </w:rPr>
      </w:pPr>
      <w:r>
        <w:rPr>
          <w:b/>
        </w:rPr>
        <w:t xml:space="preserve">Перспективы внутреннего туризма на 2026 год</w:t>
      </w: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В 2025 году внутренний туризм продолжил укреплять свои позиции, став не просто альтернативой зарубежным поездкам, а полноценной частью повседневной жизни россиян.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UserStyle_162"/>
        <w:numPr>
          <w:ilvl w:val="0"/>
          <w:numId w:val="22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Рост числа поездок. По данным Ростуризма, количество внутренних туристических поездок в 2025 году выросло на 12% по сравнению с 2024 годом (в 2024 году рост составил 35%). Это замедление связано с выходом рынка на плато после бума 2023–2024 годов.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2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Государственная поддержка. Продолжалась реализация Национального проекта «Туризм и индустрия гостеприимства» (2021–2030 гг.), в рамках которого: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2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Финансировалось строительство и реконструкция объектов размещения, особенно в регионах с высоким туристическим потенциалом.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Развивались новые маршруты — в Бурятии, на Алтае, в Республике Коми и на Сахалине.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Поддерживались проекты в сфере экотуризма, гастрономического туризма и культурно-познавательного туризма.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Популярные направления: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UserStyle_162"/>
        <w:numPr>
          <w:ilvl w:val="0"/>
          <w:numId w:val="1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Экотуризм. Туристы всё чаще выбирали поездки в заповедники, национальные парки и в этнографические деревни. Особенно востребованы были маршруты с элементами волонтёрства и экологического просвещения.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Гастрономические туры. Маршруты вроде «Кулинарные традиции России» (Кострома, Тула, Уфа, Якутск) привлекали внимание как молодёжи, так и семей с детьми.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Культурно-исторические маршруты. Проекты вроде «Золотое кольцо — новая версия» и «Дорогами императоров» активно продвигались и дополнялись цифровыми гидами и AR-экскурсиями.</w:t>
      </w:r>
      <w:r>
        <w:rPr>
          <w:rFonts w:ascii="Times New Roman" w:hAnsi="Times New Roman" w:cs="Times New Roman"/>
        </w:rPr>
      </w:r>
    </w:p>
    <w:p>
      <w:pPr>
        <w:pStyle w:val="UserStyle_1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62"/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В 2025 году наблюдался восстановительный рост делового туризма, особенно в регионах EMEA (Европа, Ближний Восток, Африка), включая Россию.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UserStyle_162"/>
        <w:numPr>
          <w:ilvl w:val="0"/>
          <w:numId w:val="24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Увеличилось число деловых поездок. 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4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Bleisure-путешествия. Формат совмещения командировок с отдыхом стал нормой. Около 40% деловых туристов продлевали командировку на 1–3 дня для отдыха, что стимулировало спрос на отели с wellness-зонами, удобной инфраструктурой и экскурсионными пакетами.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4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Цели развития бизнес-туризма: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7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числа иностранных туристов на деловые мероприятия в РФ в 2 раза к 2030 году.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7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Выход России в топ-20 мировых конгрессных направлений по версии ICCA (Международного совета по конгрессной деятельности).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Таблица 1. Численность деловых поездок в России в 2021–2025 гг. (млн поездок)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UserStyle_162"/>
        <w:ind w:right="0" w:left="0"/>
        <w:jc w:val="both"/>
        <w:rPr>
          <w:rFonts w:ascii="Times New Roman" w:hAnsi="Times New Roman" w:eastAsia="MS Mincho" w:cs="Times New Roman"/>
          <w:lang w:eastAsia="ja-JP"/>
        </w:rPr>
      </w:pPr>
      <w:r>
        <w:rPr>
          <w:rFonts w:ascii="Times New Roman" w:hAnsi="Times New Roman" w:eastAsia="MS Mincho" w:cs="Times New Roman"/>
          <w:lang w:eastAsia="ja-JP"/>
        </w:rPr>
      </w:r>
    </w:p>
    <w:tbl>
      <w:tblPr>
        <w:tblInd w:w="351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3641"/>
        <w:gridCol w:w="1186"/>
        <w:gridCol w:w="1186"/>
        <w:gridCol w:w="1186"/>
        <w:gridCol w:w="1186"/>
        <w:gridCol w:w="1186"/>
      </w:tblGrid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Параметр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2025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i/>
                <w:lang w:eastAsia="ja-JP"/>
              </w:rPr>
              <w:t xml:space="preserve">Численность деловых поездок (млн. поездок)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16,4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21,6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17,3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21,0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21,8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i/>
                <w:lang w:eastAsia="ja-JP"/>
              </w:rPr>
              <w:t xml:space="preserve">Динамика 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-32,8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31,5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-19,7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21,5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3,8</w:t>
            </w:r>
          </w:p>
        </w:tc>
      </w:tr>
    </w:tbl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ascii="Times New Roman" w:hAnsi="Times New Roman" w:cs="Times New Roman"/>
        </w:rPr>
      </w:pPr>
      <w:r>
        <w:rPr>
          <w:i/>
        </w:rPr>
        <w:t xml:space="preserve">Государственные меры поддержки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Стратегия развития туризма до 2035 года (утв. распоряжением Правительства РФ № 2129-р от 20.09.2019) остаётся основным документом, определяющим вектор развития отрасли. Она направлена на: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внутреннего и въездного туризма.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конкурентоспособных туристических брендов России.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Повышение доступности и качества туристических услуг.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Поддержку таких видов туризма, как детский, культурно-познавательный, горнолыжный, круизный, экологический и деловой.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Федеральные проекты в рамках нацпроекта «Туризм и индустрия гостеприимства»: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9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«Развитие туристической инфраструктуры» — финансирование строительства отелей, кемпингов, туристических деревень, обустройство пляжей и маршрутов. Объём финансирования — 749,25 млрд руб.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9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«Повышение доступности туристических продуктов» — субсидии на поездки, кешбэк, поддержка туроператоров. Бюджет — 185,28 млрд руб.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9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«Совершенствование управления в сфере туризма» — цифровизация, подготовка кадров, развитие законодательной базы. Бюджет — 4,57 млрд руб.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b/>
        </w:rPr>
      </w:pPr>
      <w:r>
        <w:t xml:space="preserve">2025 год стал годом консолидации достижений в сфере внутреннего туризма. Рынок вышел на устойчивый уровень спроса, а государственные программы продолжили формировать современную туристическую инфраструктуру. Ключевыми трендами стали персонализация сервиса, экологическая ответственность, цифровизация и рост региональной привлекательности. Внутренний туризм утвердился как важный элемент национальной экономики и культурной идентичности.</w:t>
      </w: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center"/>
      </w:pPr>
      <w:r>
        <w:rPr>
          <w:b/>
        </w:rPr>
        <w:t xml:space="preserve">Меры в Туристическом сегменте: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В 2025 году туристский сектор России продолжал укреплять свою роль как один из ключевых драйверов внутреннего спроса и регионального развития. Несмотря на умеренные темпы роста экономики (около 1%), туризм оставался устойчивым сектором, способствующим созданию рабочих мест, развитию инфраструктуры и повышению качества жизни граждан.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Для реализации государственной политики в сфере туризма были продолжены и скорректированы меры по стимулированию внутреннего и въездного (экспортного) туристского потока, включая цифровизацию, поддержку инвестпроектов и развитие новых форматов отдыха.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ascii="Times New Roman" w:hAnsi="Times New Roman" w:cs="Times New Roman"/>
        </w:rPr>
      </w:pPr>
      <w:r>
        <w:rPr>
          <w:i/>
        </w:rPr>
        <w:t xml:space="preserve">Основные направления государственной поддержки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4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Стратегия развития туризма в Российской Федерации до 2035 года</w:t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ascii="Times New Roman" w:hAnsi="Times New Roman" w:cs="Times New Roman"/>
        </w:rPr>
      </w:pPr>
      <w:r>
        <w:t xml:space="preserve">Утверждена распоряжением Правительства РФ № 2129-р от 20 сентября 2019 года, стратегия остаётся основополагающим документом. В 2025 году акцент в её реализации был сделан на: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Углублённое развитие внутреннего туризма как инструмента социальной интеграции и повышения качества отдыха граждан.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Продвижение России на международных туристических рынках — особенно в странах Азии, Ближнего Востока и дружественных государствах.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устойчивых туристических брендов регионов — например, «Золотое кольцо — новая версия», «Кавказские минеральные воды», «Дорогами императоров».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приоритетных видов туризма: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Экологический туризм — с акцентом на заповедники, национальные парки и low-impact-отдых.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Культурно-познавательный туризм — с использованием AR/VR-экскурсий и цифровых гидов.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Гастрономический туризм — поддержка локальных производителей и кулинарных маршрутов.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Деловой и медицинский туризм — с целью привлечения иностранных гостей.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cs="Times New Roman"/>
        </w:rPr>
      </w:pPr>
      <w:r>
        <w:rPr>
          <w:rFonts w:ascii="Times New Roman" w:hAnsi="Times New Roman" w:cs="Times New Roman"/>
        </w:rPr>
        <w:t xml:space="preserve">Горнолыжный и круизный туризм — с модернизацией инфраструктуры.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14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Национальный проект «Туризм и индустрия гостеприимства» (2021–2030 гг.)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Проект продолжил реализовываться как главный инструмент государственной поддержки отрасли. Его цель — сделать путешествия по России удобными, безопасными, доступными и технологичными.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В 2025 году в рамках проекта действовали три федеральных направления: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Федеральный проект «Развитие туристической инфраструктуры»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Срок реализации: 2021–2030 гг.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Объём финансирования: 749,25 млрд рублей.</w:t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ascii="Times New Roman" w:hAnsi="Times New Roman" w:cs="Times New Roman"/>
        </w:rPr>
      </w:pPr>
      <w:r>
        <w:t xml:space="preserve">Основные меры: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4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Строительство и реконструкция отелей, апарт-отелей, кемпингов и туристических деревень.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4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Обустройство пешеходных и веломаршрутов, пляжей, парковых зон.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4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Поддержка инвесторов через льготные кредиты и налоговые каникулы.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4"/>
        </w:numPr>
        <w:tabs>
          <w:tab w:val="left" w:leader="none" w:pos="360"/>
        </w:tabs>
        <w:spacing w:after="0" w:before="60" w:line="276" w:lineRule="auto"/>
        <w:contextualSpacing w:val="true"/>
        <w:rPr>
          <w:rFonts w:cs="Times New Roman"/>
        </w:rPr>
      </w:pPr>
      <w:r>
        <w:rPr>
          <w:rFonts w:ascii="Times New Roman" w:hAnsi="Times New Roman" w:cs="Times New Roman"/>
        </w:rPr>
        <w:t xml:space="preserve">В 2025 году наибольший ввод номеров пришёлся на Краснодарский край (около 40% от общего объёма), Татарстан и Сочи.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Федеральный проект «Повышение доступности туристических продуктов»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Срок реализации: 2021–2030 гг.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Объём финансирования: 185,28 млрд рублей.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Основные меры: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UserStyle_162"/>
        <w:numPr>
          <w:ilvl w:val="0"/>
          <w:numId w:val="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Продолжение программы туристического кешбэка с увеличением доли возмещения до 25% (до 20 000 рублей на человека).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Субсидирование детских и семейных туров.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Поддержка туроператоров, работающих на внутреннем рынке.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"/>
        </w:numPr>
        <w:tabs>
          <w:tab w:val="left" w:leader="none" w:pos="360"/>
        </w:tabs>
        <w:spacing w:after="0" w:before="60" w:line="276" w:lineRule="auto"/>
        <w:contextualSpacing w:val="true"/>
        <w:rPr>
          <w:rFonts w:cs="Times New Roman"/>
        </w:rPr>
      </w:pPr>
      <w:r>
        <w:rPr>
          <w:rFonts w:ascii="Times New Roman" w:hAnsi="Times New Roman" w:cs="Times New Roman"/>
        </w:rPr>
        <w:t xml:space="preserve">Развитие цифровых платформ для бронирования и продвижения маршрутов.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Федеральный проект «Совершенствование управления в сфере туризма»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Срок реализации: 2021–2030 гг.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Объём финансирования: 4,57 млрд рублей.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Основные меры: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UserStyle_162"/>
        <w:numPr>
          <w:ilvl w:val="0"/>
          <w:numId w:val="1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Цифровизация отрасли: внедрение единой платформы учёта туристического потока, интеграция с ЕГАИС.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кадров: развитие колледжей и вузов по профилю «туризм и гостеприимство», стажировки в ведущих отелях.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2"/>
        </w:numPr>
        <w:tabs>
          <w:tab w:val="left" w:leader="none" w:pos="360"/>
        </w:tabs>
        <w:spacing w:after="0" w:before="60" w:line="276" w:lineRule="auto"/>
        <w:contextualSpacing w:val="true"/>
        <w:rPr>
          <w:rFonts w:cs="Times New Roman"/>
          <w:b/>
        </w:rPr>
      </w:pPr>
      <w:r>
        <w:rPr>
          <w:rFonts w:ascii="Times New Roman" w:hAnsi="Times New Roman" w:cs="Times New Roman"/>
        </w:rPr>
        <w:t xml:space="preserve">Обновление законодательства: упрощение лицензирования, внедрение «зелёных» стандартов для отелей.</w:t>
      </w:r>
      <w:r>
        <w:rPr>
          <w:rFonts w:cs="Times New Roman"/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UserStyle_79"/>
        <w:shd w:val="clear" w:color="auto" w:fill="ffffff"/>
        <w:spacing w:after="0" w:before="0" w:line="276" w:lineRule="auto"/>
        <w:ind w:right="0" w:firstLine="284"/>
        <w:jc w:val="both"/>
        <w:rPr>
          <w:rStyle w:val="UserStyle_74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lang w:val="en-US"/>
        </w:rPr>
        <w:t xml:space="preserve">1.2. Оценка развития гостиничного направления Отеля «Савой» в 20</w:t>
      </w:r>
      <w:r>
        <w:rPr>
          <w:rFonts w:ascii="Times New Roman" w:hAnsi="Times New Roman" w:eastAsia="Times New Roman" w:cs="Times New Roman"/>
          <w:b/>
          <w:bCs/>
        </w:rPr>
        <w:t xml:space="preserve">25</w:t>
      </w:r>
      <w:r>
        <w:rPr>
          <w:rFonts w:ascii="Times New Roman" w:hAnsi="Times New Roman" w:eastAsia="Times New Roman" w:cs="Times New Roman"/>
          <w:b/>
          <w:bCs/>
          <w:lang w:val="en-US"/>
        </w:rPr>
        <w:t xml:space="preserve"> году на фоне общеотраслевых тенденций.</w:t>
      </w:r>
      <w:r>
        <w:rPr>
          <w:rStyle w:val="UserStyle_74"/>
          <w:rFonts w:ascii="Times New Roman" w:hAnsi="Times New Roman" w:cs="Times New Roman"/>
          <w:shd w:val="clear" w:color="auto" w:fill="ffffff"/>
        </w:rPr>
      </w:r>
    </w:p>
    <w:p>
      <w:pPr>
        <w:pStyle w:val="UserStyle_79"/>
        <w:shd w:val="clear" w:color="auto" w:fill="ffffff"/>
        <w:spacing w:after="0" w:before="0" w:line="276" w:lineRule="auto"/>
        <w:ind w:right="0" w:firstLine="284"/>
        <w:jc w:val="both"/>
        <w:rPr>
          <w:lang w:val="ru-RU"/>
        </w:rPr>
      </w:pPr>
      <w:r>
        <w:rPr>
          <w:rStyle w:val="UserStyle_74"/>
          <w:rFonts w:ascii="Times New Roman" w:hAnsi="Times New Roman" w:cs="Times New Roman"/>
          <w:shd w:val="clear" w:color="auto" w:fill="ffffff"/>
        </w:rPr>
        <w:t xml:space="preserve">Отель «Савой Москва» в 2025 году демонстрировал </w:t>
      </w:r>
      <w:r>
        <w:rPr>
          <w:rStyle w:val="UserStyle_74"/>
          <w:rFonts w:ascii="Times New Roman" w:hAnsi="Times New Roman" w:cs="Times New Roman"/>
          <w:bCs/>
          <w:shd w:val="clear" w:color="auto" w:fill="ffffff"/>
        </w:rPr>
        <w:t xml:space="preserve">устойчивое развитие</w:t>
      </w:r>
      <w:r>
        <w:rPr>
          <w:rStyle w:val="UserStyle_74"/>
          <w:rFonts w:ascii="Times New Roman" w:hAnsi="Times New Roman" w:cs="Times New Roman"/>
          <w:shd w:val="clear" w:color="auto" w:fill="ffffff"/>
        </w:rPr>
        <w:t xml:space="preserve">, эффектино адаптирясь к текущим вызовам и используя возможности, предоставляемые государственной политикой и меняющимся поведением гостей.</w:t>
      </w:r>
      <w:r>
        <w:rPr>
          <w:lang w:val="ru-RU"/>
        </w:rPr>
      </w:r>
    </w:p>
    <w:p>
      <w:pPr>
        <w:pStyle w:val="Heading3"/>
        <w:numPr>
          <w:ilvl w:val="2"/>
          <w:numId w:val="1"/>
        </w:numPr>
        <w:spacing w:after="60" w:before="120" w:line="276" w:lineRule="auto"/>
        <w:ind w:firstLine="0" w:left="0"/>
        <w:jc w:val="both"/>
      </w:pPr>
      <w:r>
        <w:rPr>
          <w:lang w:val="ru-RU"/>
        </w:rPr>
        <w:t xml:space="preserve">. </w:t>
      </w:r>
      <w:r>
        <w:t xml:space="preserve">Сильные стороны или преимущества комплекса: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Местоположение отеля в историческом центре Москвы, где сосредоточены правительственные, финансовые и культурные учреждения, является магнитом как для туристов, так и для бизнесменов. В этом контексте благоприятное расположение Отеля "Савой" в сердце столицы играет ключевую роль, являясь одним из определяющих факторов его успеха.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Введена новая система лояльности для постоянных гостей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Закуплено новое белье и махра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Восстановлены контакты и привлечены новые туристские компании, повысившие доходность Отеля почти в 3.2 раза по </w:t>
      </w:r>
      <w:r>
        <w:rPr>
          <w:lang w:val="en-US"/>
        </w:rPr>
        <w:t xml:space="preserve">B</w:t>
      </w:r>
      <w:r>
        <w:t xml:space="preserve">2</w:t>
      </w:r>
      <w:r>
        <w:rPr>
          <w:lang w:val="en-US"/>
        </w:rPr>
        <w:t xml:space="preserve">B</w:t>
      </w:r>
      <w:r>
        <w:t xml:space="preserve"> сегментам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Улучшение коммуникации со странами Востока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Запуск разлчных проектов по улучшение качества работы на гостиничных предприятиях от Комитета по туризму.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Интерес отечественных блогеров и их аудитории к внутреннему туризму. Возможность повысить число лояльных гостей и узнаваемость в среде целевой аудитории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Введены в работу более лояльные условия на бронирования для тур компаний и организаций в корпоративном сегменте, при этом являясь выгодной стратегией для Отеля с другой стороны, нацеленная на увеличение доходности.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Heading3"/>
        <w:numPr>
          <w:ilvl w:val="2"/>
          <w:numId w:val="1"/>
        </w:numPr>
        <w:spacing w:after="60" w:before="60" w:line="276" w:lineRule="auto"/>
        <w:ind w:firstLine="0" w:left="0"/>
        <w:jc w:val="both"/>
        <w:rPr>
          <w:b w:val="0"/>
          <w:bCs w:val="0"/>
          <w:lang w:val="ru-RU"/>
        </w:rPr>
      </w:pPr>
      <w:r>
        <w:t xml:space="preserve">Угрозы:</w:t>
      </w:r>
      <w:r>
        <w:rPr>
          <w:b w:val="0"/>
          <w:bCs w:val="0"/>
          <w:lang w:val="ru-RU"/>
        </w:rPr>
      </w:r>
    </w:p>
    <w:p>
      <w:pPr>
        <w:pStyle w:val="Heading3"/>
        <w:numPr>
          <w:ilvl w:val="0"/>
          <w:numId w:val="0"/>
        </w:numPr>
        <w:spacing w:after="60" w:before="60" w:line="276" w:lineRule="auto"/>
        <w:ind w:right="0" w:firstLine="0" w:left="284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</w:r>
    </w:p>
    <w:p>
      <w:pPr>
        <w:pStyle w:val="Heading3"/>
        <w:numPr>
          <w:ilvl w:val="0"/>
          <w:numId w:val="0"/>
        </w:numPr>
        <w:spacing w:after="60" w:before="60" w:line="276" w:lineRule="auto"/>
        <w:ind w:right="0" w:firstLine="0" w:left="284"/>
        <w:jc w:val="both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b/>
          <w:i/>
        </w:rPr>
        <w:t xml:space="preserve">Кадровый дефицит</w:t>
      </w:r>
      <w:r>
        <w:rPr>
          <w:i/>
        </w:rPr>
        <w:t xml:space="preserve">:</w:t>
      </w:r>
      <w:r>
        <w:t xml:space="preserve"> </w:t>
      </w:r>
      <w:r>
        <w:rPr>
          <w:rStyle w:val="UserStyle_74"/>
          <w:b/>
        </w:rPr>
        <w:t xml:space="preserve">По данным исследования Ostrovok (2025), 48% отелей сообщили о серьёзном дефиците персонала. Наибольшие трудности — в службах: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Housekeeping</w:t>
      </w:r>
      <w:r>
        <w:rPr>
          <w:rStyle w:val="UserStyle_74"/>
          <w:rFonts w:ascii="Times New Roman" w:hAnsi="Times New Roman" w:cs="Times New Roman"/>
        </w:rPr>
        <w:t xml:space="preserve"> (уборка номеров)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Ресепшн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F&amp;B (организация питания)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  <w:i/>
        </w:rPr>
      </w:pPr>
      <w:r>
        <w:rPr>
          <w:rStyle w:val="UserStyle_74"/>
          <w:rFonts w:ascii="Times New Roman" w:hAnsi="Times New Roman" w:cs="Times New Roman"/>
          <w:bCs/>
        </w:rPr>
        <w:t xml:space="preserve">Инженерно-техническая служба</w:t>
      </w:r>
      <w:r>
        <w:rPr>
          <w:rFonts w:ascii="Times New Roman" w:hAnsi="Times New Roman" w:cs="Times New Roman"/>
        </w:rPr>
        <w:br w:type="textWrapping" w:clear="all"/>
      </w:r>
      <w:r>
        <w:rPr>
          <w:rStyle w:val="UserStyle_74"/>
          <w:rFonts w:ascii="Times New Roman" w:hAnsi="Times New Roman" w:cs="Times New Roman"/>
          <w:bCs/>
          <w:i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</w:rPr>
      </w:pPr>
      <w:r>
        <w:rPr>
          <w:rStyle w:val="UserStyle_74"/>
          <w:rFonts w:ascii="Times New Roman" w:hAnsi="Times New Roman" w:cs="Times New Roman"/>
          <w:bCs/>
          <w:i/>
        </w:rPr>
        <w:t xml:space="preserve">Ограничения в авиасообщении:</w:t>
      </w:r>
      <w:r>
        <w:rPr>
          <w:rStyle w:val="UserStyle_74"/>
          <w:rFonts w:ascii="Times New Roman" w:hAnsi="Times New Roman" w:cs="Times New Roman"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  <w:bCs/>
          <w:i/>
        </w:rPr>
      </w:pPr>
      <w:r>
        <w:rPr>
          <w:rStyle w:val="UserStyle_74"/>
          <w:rFonts w:ascii="Times New Roman" w:hAnsi="Times New Roman" w:cs="Times New Roman"/>
        </w:rPr>
        <w:t xml:space="preserve">Приостановление  деятельности 11 аэропортов в южных регионах (включая Краснодар, Сочи, Симферополь, Ростов-на Дону) негативно повлияла на транзитный поток и сложность логистики для международных гостей.</w:t>
      </w:r>
      <w:r>
        <w:rPr>
          <w:rStyle w:val="UserStyle_74"/>
          <w:rFonts w:ascii="Times New Roman" w:hAnsi="Times New Roman" w:cs="Times New Roman"/>
          <w:bCs/>
          <w:i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  <w:i/>
        </w:rPr>
        <w:t xml:space="preserve">Финансовые и экономические риски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Сокращение госфинансирования</w:t>
      </w:r>
      <w:r>
        <w:rPr>
          <w:rStyle w:val="UserStyle_74"/>
          <w:rFonts w:ascii="Times New Roman" w:hAnsi="Times New Roman" w:cs="Times New Roman"/>
        </w:rPr>
        <w:t xml:space="preserve"> по отдельным программам — замедление реализации инфраструктурных проектов в регионах.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Рост операционных расходов</w:t>
      </w:r>
      <w:r>
        <w:rPr>
          <w:rStyle w:val="UserStyle_74"/>
          <w:rFonts w:ascii="Times New Roman" w:hAnsi="Times New Roman" w:cs="Times New Roman"/>
        </w:rPr>
        <w:t xml:space="preserve"> — на 15 -20% по сравнению с 2024 годом (энергия, продукты, логистика) 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  <w:i/>
        </w:rPr>
      </w:pPr>
      <w:r>
        <w:rPr>
          <w:rStyle w:val="UserStyle_74"/>
          <w:rFonts w:ascii="Times New Roman" w:hAnsi="Times New Roman" w:cs="Times New Roman"/>
          <w:bCs/>
        </w:rPr>
        <w:t xml:space="preserve">Изменения в налоговом законодательстве</w:t>
      </w:r>
      <w:r>
        <w:rPr>
          <w:rStyle w:val="UserStyle_74"/>
          <w:rFonts w:ascii="Times New Roman" w:hAnsi="Times New Roman" w:cs="Times New Roman"/>
          <w:bCs/>
          <w:i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  <w:i/>
        </w:rPr>
        <w:t xml:space="preserve">Конкурентная среда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</w:rPr>
      </w:pPr>
      <w:r>
        <w:rPr>
          <w:rStyle w:val="UserStyle_74"/>
          <w:rFonts w:ascii="Times New Roman" w:hAnsi="Times New Roman" w:cs="Times New Roman"/>
          <w:bCs/>
        </w:rPr>
        <w:t xml:space="preserve">Усиление конкуренции</w:t>
      </w:r>
      <w:r>
        <w:rPr>
          <w:rStyle w:val="UserStyle_74"/>
          <w:rFonts w:ascii="Times New Roman" w:hAnsi="Times New Roman" w:cs="Times New Roman"/>
        </w:rPr>
        <w:t xml:space="preserve"> со стороны новых апарт-отелей и бутик-гостиниц в центре Москвы.</w:t>
      </w:r>
      <w:r>
        <w:rPr>
          <w:rStyle w:val="UserStyle_74"/>
          <w:rFonts w:ascii="Times New Roman" w:hAnsi="Times New Roman" w:cs="Times New Roman"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  <w:i/>
        </w:rPr>
      </w:pPr>
      <w:r>
        <w:rPr>
          <w:rStyle w:val="UserStyle_74"/>
          <w:rFonts w:ascii="Times New Roman" w:hAnsi="Times New Roman" w:cs="Times New Roman"/>
        </w:rPr>
        <w:t xml:space="preserve">Рост популярности </w:t>
      </w:r>
      <w:r>
        <w:rPr>
          <w:rStyle w:val="UserStyle_74"/>
          <w:rFonts w:ascii="Times New Roman" w:hAnsi="Times New Roman" w:cs="Times New Roman"/>
          <w:bCs/>
        </w:rPr>
        <w:t xml:space="preserve">альтернативных форматов размещения</w:t>
      </w:r>
      <w:r>
        <w:rPr>
          <w:rStyle w:val="UserStyle_74"/>
          <w:rFonts w:ascii="Times New Roman" w:hAnsi="Times New Roman" w:cs="Times New Roman"/>
        </w:rPr>
        <w:t xml:space="preserve"> </w:t>
      </w:r>
      <w:r>
        <w:rPr>
          <w:rStyle w:val="UserStyle_74"/>
          <w:rFonts w:ascii="Times New Roman" w:hAnsi="Times New Roman" w:cs="Times New Roman"/>
          <w:bCs/>
          <w:i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</w:rPr>
      </w:pPr>
      <w:r>
        <w:rPr>
          <w:rStyle w:val="UserStyle_74"/>
          <w:rFonts w:ascii="Times New Roman" w:hAnsi="Times New Roman" w:cs="Times New Roman"/>
          <w:bCs/>
          <w:i/>
        </w:rPr>
        <w:t xml:space="preserve">Геополитическая и социальная нестабильность</w:t>
      </w:r>
      <w:r>
        <w:rPr>
          <w:rStyle w:val="UserStyle_74"/>
          <w:rFonts w:ascii="Times New Roman" w:hAnsi="Times New Roman" w:cs="Times New Roman"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</w:rPr>
      </w:pPr>
      <w:r>
        <w:rPr>
          <w:rStyle w:val="UserStyle_74"/>
          <w:rFonts w:ascii="Times New Roman" w:hAnsi="Times New Roman" w:cs="Times New Roman"/>
        </w:rPr>
        <w:t xml:space="preserve">Сложности с оплатой иностранных сервисов из-за санкционных ограничений.</w:t>
      </w:r>
      <w:r>
        <w:rPr>
          <w:rStyle w:val="UserStyle_74"/>
          <w:rFonts w:ascii="Times New Roman" w:hAnsi="Times New Roman" w:cs="Times New Roman"/>
        </w:rPr>
      </w:r>
    </w:p>
    <w:p>
      <w:pPr>
        <w:pStyle w:val="UserStyle_79"/>
        <w:spacing w:after="0" w:before="120"/>
        <w:rPr>
          <w:rFonts w:cs="Times New Roman"/>
          <w:sz w:val="22"/>
          <w:szCs w:val="22"/>
        </w:rPr>
      </w:pPr>
      <w:r>
        <w:rPr>
          <w:rStyle w:val="UserStyle_74"/>
          <w:rFonts w:ascii="Times New Roman" w:hAnsi="Times New Roman" w:cs="Times New Roman"/>
        </w:rPr>
        <w:br w:type="textWrapping" w:clear="all"/>
        <w:t xml:space="preserve">В 2025 году отель «Савой Москва» успешно адаптировался к новым реалиям, используя свои </w:t>
      </w:r>
      <w:r>
        <w:rPr>
          <w:rStyle w:val="UserStyle_74"/>
          <w:rFonts w:ascii="Times New Roman" w:hAnsi="Times New Roman" w:cs="Times New Roman"/>
          <w:bCs/>
        </w:rPr>
        <w:t xml:space="preserve">исторические преимущества</w:t>
      </w:r>
      <w:r>
        <w:rPr>
          <w:rStyle w:val="UserStyle_74"/>
          <w:rFonts w:ascii="Times New Roman" w:hAnsi="Times New Roman" w:cs="Times New Roman"/>
        </w:rPr>
        <w:t xml:space="preserve">, активно внедряя </w:t>
      </w:r>
      <w:r>
        <w:rPr>
          <w:rStyle w:val="UserStyle_74"/>
          <w:rFonts w:ascii="Times New Roman" w:hAnsi="Times New Roman" w:cs="Times New Roman"/>
          <w:bCs/>
        </w:rPr>
        <w:t xml:space="preserve">цифровые технологии</w:t>
      </w:r>
      <w:r>
        <w:rPr>
          <w:rStyle w:val="UserStyle_74"/>
          <w:rFonts w:ascii="Times New Roman" w:hAnsi="Times New Roman" w:cs="Times New Roman"/>
        </w:rPr>
        <w:t xml:space="preserve"> и укрепляя </w:t>
      </w:r>
      <w:r>
        <w:rPr>
          <w:rStyle w:val="UserStyle_74"/>
          <w:rFonts w:ascii="Times New Roman" w:hAnsi="Times New Roman" w:cs="Times New Roman"/>
          <w:bCs/>
        </w:rPr>
        <w:t xml:space="preserve">B2B-направление</w:t>
      </w:r>
      <w:r>
        <w:rPr>
          <w:rStyle w:val="UserStyle_74"/>
          <w:rFonts w:ascii="Times New Roman" w:hAnsi="Times New Roman" w:cs="Times New Roman"/>
        </w:rPr>
        <w:t xml:space="preserve">. Несмотря на </w:t>
      </w:r>
      <w:r>
        <w:rPr>
          <w:rStyle w:val="UserStyle_74"/>
          <w:rFonts w:ascii="Times New Roman" w:hAnsi="Times New Roman" w:cs="Times New Roman"/>
          <w:bCs/>
        </w:rPr>
        <w:t xml:space="preserve">кадровые и экономические вызовы</w:t>
      </w:r>
      <w:r>
        <w:rPr>
          <w:rStyle w:val="UserStyle_74"/>
          <w:rFonts w:ascii="Times New Roman" w:hAnsi="Times New Roman" w:cs="Times New Roman"/>
        </w:rPr>
        <w:t xml:space="preserve">, отель сохранил высокий уровень сервиса и продолжил наращивать доходность, особенно в сегменте делового и премиального туризма. Участие в государственных программах и ориентация на внутрений рынок позволили «Савою» укрепить позиции как одного из ведущих отелей столицы.</w:t>
      </w:r>
      <w:r>
        <w:rPr>
          <w:rFonts w:cs="Times New Roman"/>
          <w:sz w:val="22"/>
          <w:szCs w:val="22"/>
        </w:rPr>
      </w:r>
    </w:p>
    <w:p>
      <w:pPr>
        <w:pStyle w:val="Normal"/>
        <w:tabs>
          <w:tab w:val="left" w:leader="none" w:pos="360"/>
        </w:tabs>
        <w:spacing w:after="0" w:before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Heading3"/>
        <w:numPr>
          <w:ilvl w:val="2"/>
          <w:numId w:val="1"/>
        </w:numPr>
        <w:spacing w:after="60" w:before="60"/>
        <w:ind w:right="0" w:hanging="720" w:left="1428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Динамика показателя загрузки</w:t>
      </w:r>
      <w:r>
        <w:rPr>
          <w:sz w:val="22"/>
          <w:szCs w:val="22"/>
          <w:lang w:val="en-US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UserStyle_79"/>
        <w:spacing w:after="0" w:before="0"/>
        <w:ind w:right="0" w:firstLine="720"/>
        <w:jc w:val="both"/>
        <w:rPr>
          <w:rFonts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 результате, общий рост загрузки в течение всего 2025 г., составил 77,5%, что на 3,7 пунктов (+5%)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выше среднегодового показателя прошлого года. Среди конкурентных наборов Отель занял 2 место. Намного выше отелей уровня</w:t>
      </w:r>
      <w:r>
        <w:rPr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Luxury &amp; Upper Upscale, при этом немного ниже Moscow Luxury.</w:t>
      </w:r>
      <w:r>
        <w:rPr>
          <w:rFonts w:cs="Times New Roman"/>
          <w:b/>
          <w:iCs/>
          <w:sz w:val="22"/>
          <w:szCs w:val="22"/>
        </w:rPr>
      </w:r>
    </w:p>
    <w:p>
      <w:pPr>
        <w:pStyle w:val="Normal"/>
        <w:spacing w:after="60" w:before="0"/>
        <w:ind w:right="0" w:firstLine="709"/>
        <w:jc w:val="both"/>
        <w:rPr>
          <w:rFonts w:cs="Times New Roman"/>
          <w:b/>
          <w:iCs/>
          <w:sz w:val="22"/>
          <w:szCs w:val="22"/>
        </w:rPr>
      </w:pPr>
      <w:r>
        <w:rPr>
          <w:rFonts w:cs="Times New Roman"/>
          <w:b/>
          <w:iCs/>
          <w:sz w:val="22"/>
          <w:szCs w:val="22"/>
        </w:rPr>
      </w:r>
    </w:p>
    <w:p>
      <w:pPr>
        <w:pStyle w:val="Normal"/>
        <w:spacing w:after="240" w:before="0"/>
        <w:ind w:right="0" w:firstLine="709"/>
        <w:jc w:val="center"/>
      </w:pPr>
      <w:r>
        <w:rPr>
          <w:b/>
          <w:iCs/>
          <w:szCs w:val="22"/>
          <w:u w:val="single"/>
        </w:rPr>
        <w:t xml:space="preserve">Показатель загрузки Отелей групп сравнения в 2025 г.</w:t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03429" cy="3056407"/>
                <wp:effectExtent l="0" t="0" r="0" b="0"/>
                <wp:docPr id="2" name="_x0000_i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-10" t="-22" r="-10" b="-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3429" cy="30564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04.21pt;height:240.66pt;mso-wrap-distance-left:0.00pt;mso-wrap-distance-top:0.00pt;mso-wrap-distance-right:0.00pt;mso-wrap-distance-bottom:0.00pt;z-index:1;" stroked="false">
                <v:imagedata r:id="rId10" o:title="" croptop="-13f" cropleft="-6f" cropbottom="-13f" cropright="-6f"/>
                <o:lock v:ext="edit" rotation="t"/>
              </v:shape>
            </w:pict>
          </mc:Fallback>
        </mc:AlternateContent>
      </w: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Табл. 1. Загрузка отелей Москвы в 2025 году по сравнению с 2024 годом.</w:t>
      </w:r>
      <w:r>
        <w:rPr>
          <w:rFonts w:ascii="Calibri" w:hAnsi="Calibri" w:cs="Calibri"/>
          <w:b/>
          <w:bCs/>
          <w:sz w:val="20"/>
          <w:szCs w:val="20"/>
        </w:rPr>
      </w:r>
    </w:p>
    <w:tbl>
      <w:tblPr>
        <w:tblInd w:w="-567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247"/>
        <w:gridCol w:w="778"/>
        <w:gridCol w:w="919"/>
        <w:gridCol w:w="919"/>
        <w:gridCol w:w="778"/>
        <w:gridCol w:w="778"/>
        <w:gridCol w:w="919"/>
        <w:gridCol w:w="919"/>
        <w:gridCol w:w="778"/>
        <w:gridCol w:w="763"/>
        <w:gridCol w:w="919"/>
        <w:gridCol w:w="919"/>
        <w:gridCol w:w="759"/>
      </w:tblGrid>
      <w:tr>
        <w:trPr>
          <w:trHeight w:val="227"/>
        </w:trPr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Загрузка</w:t>
            </w:r>
          </w:p>
        </w:tc>
      </w:tr>
      <w:tr>
        <w:trPr>
          <w:trHeight w:val="227"/>
        </w:trPr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Месяц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2024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% изменений</w:t>
            </w:r>
          </w:p>
        </w:tc>
      </w:tr>
      <w:tr>
        <w:trPr>
          <w:trHeight w:val="1139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Январь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71,7%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63,3%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-8,8%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0,2%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Февраль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53,4%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61,8%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-9,1%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-8,5%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-13,6%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6,7%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Март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39,9%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74,4%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55,3%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65,4%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48,1%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15,5%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65,9%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48,1%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71,1%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68,3%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70,4%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55,6%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66,1%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4,82%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-6,13%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-13,62%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7,47%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Апрель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73,2%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56,0%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12,5%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Май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54,4%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66,9%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54,8%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-0,7%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12,4%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Июнь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68,0%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71,6%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78,7%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-15,8%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-6,2%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-23,9%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11,9%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73,7%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72,5%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53,9%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76,9%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71,6%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71,6%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57,9%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68,5%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4,22%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1,44%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-5,30%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12,27%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Июль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84,2%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81,3%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53,4%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82,4%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75,2%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74,5%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-29,0%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6,3%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Август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85,7%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82,6%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82,7%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84,8%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78,2%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-2,6%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-17,8%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2,7%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Сентябрь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54,6%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77,6%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62,2%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19,3%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-12,2%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11,5%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84,7%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80,3%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57,4%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78,6%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78,5%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79,2%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71,9%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73,7%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8,36%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1,61%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-19,66%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6,84%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Октябрь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75,7%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47,1%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78,4%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63,4%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73,3%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-25,7%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7,0%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Ноябрь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73,1%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61,3%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-17,5%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18,6%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Декабрь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85,4%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85,0%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84,0%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-4,6%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4,8%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81,3%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78,0%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79,6%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75,0%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72,5%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5,97%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3,88%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-15,92%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10,13%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Итого по году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77,5%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74,2%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76,5%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73,8%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63,1%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-13,6%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9,2%</w:t>
            </w:r>
          </w:p>
        </w:tc>
      </w:tr>
    </w:tbl>
    <w:p>
      <w:pPr>
        <w:pStyle w:val="Normal"/>
        <w:spacing w:after="0" w:before="60"/>
        <w:ind w:right="0" w:left="-142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Normal"/>
        <w:spacing w:after="0" w:before="60"/>
        <w:ind w:right="0" w:firstLine="709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Normal"/>
        <w:spacing w:after="0" w:before="60"/>
        <w:ind w:right="0" w:firstLine="709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Normal"/>
        <w:spacing w:after="0" w:before="60"/>
        <w:ind w:right="0" w:firstLine="709"/>
        <w:jc w:val="both"/>
        <w:rPr>
          <w:b/>
          <w:bCs/>
        </w:rPr>
      </w:pPr>
      <w:r>
        <w:rPr>
          <w:b/>
          <w:iCs/>
          <w:sz w:val="22"/>
          <w:szCs w:val="22"/>
        </w:rPr>
        <w:t xml:space="preserve">Показатель </w:t>
      </w:r>
      <w:r>
        <w:rPr>
          <w:b/>
          <w:iCs/>
          <w:sz w:val="22"/>
          <w:szCs w:val="22"/>
          <w:lang w:val="en-US"/>
        </w:rPr>
        <w:t xml:space="preserve">ADR</w:t>
      </w:r>
      <w:r>
        <w:rPr>
          <w:b/>
          <w:iCs/>
          <w:sz w:val="22"/>
          <w:szCs w:val="22"/>
        </w:rPr>
        <w:t xml:space="preserve"> Отелей группы сравнения в 2025 г.</w:t>
      </w:r>
      <w:r>
        <w:rPr>
          <w:b/>
          <w:bCs/>
        </w:rPr>
      </w:r>
    </w:p>
    <w:p>
      <w:pPr>
        <w:pStyle w:val="Normal"/>
        <w:spacing w:after="0" w:before="60"/>
        <w:ind w:right="0"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after="60" w:before="0"/>
        <w:jc w:val="center"/>
        <w:rPr>
          <w:b/>
          <w:iCs/>
          <w:color w:val="000000"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62662" cy="3239884"/>
                <wp:effectExtent l="0" t="0" r="0" b="0"/>
                <wp:docPr id="3" name="_x0000_i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-10" t="-19" r="-10" b="-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662" cy="32398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501.00pt;height:255.11pt;mso-wrap-distance-left:0.00pt;mso-wrap-distance-top:0.00pt;mso-wrap-distance-right:0.00pt;mso-wrap-distance-bottom:0.00pt;z-index:1;" stroked="false">
                <v:imagedata r:id="rId11" o:title="" croptop="-11f" cropleft="-6f" cropbottom="-11f" cropright="-6f"/>
                <o:lock v:ext="edit" rotation="t"/>
              </v:shape>
            </w:pict>
          </mc:Fallback>
        </mc:AlternateContent>
      </w:r>
      <w:r>
        <w:rPr>
          <w:b/>
          <w:iCs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Табл.2. </w:t>
      </w:r>
      <w:r>
        <w:rPr>
          <w:b/>
          <w:color w:val="000000"/>
          <w:sz w:val="22"/>
          <w:szCs w:val="22"/>
          <w:lang w:val="en-US"/>
        </w:rPr>
        <w:t xml:space="preserve">ADR</w:t>
      </w:r>
      <w:r>
        <w:rPr>
          <w:b/>
          <w:color w:val="000000"/>
          <w:sz w:val="22"/>
          <w:szCs w:val="22"/>
        </w:rPr>
        <w:t xml:space="preserve"> отелей Москвы в 2025 году по сравнению с 2024 годом.</w:t>
      </w:r>
      <w:r>
        <w:rPr>
          <w:rFonts w:ascii="Calibri" w:hAnsi="Calibri" w:cs="Calibri"/>
          <w:b/>
          <w:bCs/>
          <w:sz w:val="20"/>
          <w:szCs w:val="20"/>
        </w:rPr>
      </w:r>
    </w:p>
    <w:tbl>
      <w:tblPr>
        <w:tblInd w:w="-567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247"/>
        <w:gridCol w:w="778"/>
        <w:gridCol w:w="919"/>
        <w:gridCol w:w="919"/>
        <w:gridCol w:w="778"/>
        <w:gridCol w:w="778"/>
        <w:gridCol w:w="919"/>
        <w:gridCol w:w="919"/>
        <w:gridCol w:w="778"/>
        <w:gridCol w:w="763"/>
        <w:gridCol w:w="919"/>
        <w:gridCol w:w="919"/>
        <w:gridCol w:w="759"/>
      </w:tblGrid>
      <w:tr>
        <w:trPr>
          <w:trHeight w:val="227"/>
        </w:trPr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ADR</w:t>
            </w:r>
          </w:p>
        </w:tc>
      </w:tr>
      <w:tr>
        <w:trPr>
          <w:trHeight w:val="227"/>
        </w:trPr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Месяц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2024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% изменений</w:t>
            </w:r>
          </w:p>
        </w:tc>
      </w:tr>
      <w:tr>
        <w:trPr>
          <w:trHeight w:val="1139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Январь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20 770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20 749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42 358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10 958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17 625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17 142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34 025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9 848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18,40%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37,10%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12,10%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40,30%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Февраль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18 850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17 293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38 251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10 572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17 669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15 480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30 463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10 160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37,20%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40,70%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39,70%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Март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18 063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16 011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38 150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9 807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17 499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14 643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32 527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9 468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32,80%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37,80%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19,30%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28,00%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19 259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18 005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39 726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10 415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17 606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15 774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32 317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9 827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29,20%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39,50%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13,90%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35,80%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Апрель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18 618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17 352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41 887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10 374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16 479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15 114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34 216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9 385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28,00%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33,30%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25,00%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23,70%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Май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19 164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19 126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43 164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10 408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16 606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15 526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33 800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9 878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23,60%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15,50%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31,60%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Июнь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18 927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17 629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40 561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10 200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17 353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17 141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36 143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10 104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29,30%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49,80%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22,30%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31,10%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18 899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18 047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41 911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10 326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16 845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15 949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34 821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9 791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27,20%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39,60%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20,90%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28,80%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Июль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17 933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16 461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39 713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9 820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18 484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17 592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34 643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10 027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33,00%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49,90%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26,80%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36,30%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Август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18 277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17 516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38 340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10 074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20 345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18 891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38 466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10 842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43,70%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46,50%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35,00%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Сентябрь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17 470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16 686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36 337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10 324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18 678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17 145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35 556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10 518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29,60%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25,10%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17,40%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17 900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16 897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38 146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10 069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19 200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17 927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36 300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10 464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42,80%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33,10%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29,00%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Октябрь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17 337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16 749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38 829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10 056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18 528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16 793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35 599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10 556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30,70%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27,80%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16,80%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Ноябрь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17 879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17 309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37 261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10 129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18 591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17 849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32 822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10 576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19,10%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31,70%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7,30%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9,40%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Декабрь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22 352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21 944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43 040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11 568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23 372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23 159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43 194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12 096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26,20%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25,40%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22,00%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11,90%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19 283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18 828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40 201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10 596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20 326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19 323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37 676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11 062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28,30%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12,30%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Итого по году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17 931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39 971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10 350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18 563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17 286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35 460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10 300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27,80%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35,60%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24,80%</w:t>
            </w:r>
          </w:p>
        </w:tc>
      </w:tr>
    </w:tbl>
    <w:p>
      <w:pPr>
        <w:pStyle w:val="Normal"/>
        <w:spacing w:after="60" w:before="120"/>
        <w:jc w:val="both"/>
        <w:rPr>
          <w:b/>
          <w:iCs/>
          <w:sz w:val="22"/>
          <w:szCs w:val="22"/>
        </w:rPr>
      </w:pPr>
      <w:r>
        <w:rPr>
          <w:b/>
          <w:iCs/>
          <w:szCs w:val="22"/>
        </w:rPr>
        <w:t xml:space="preserve">Таким образом, средний по отчетному году показатель </w:t>
      </w:r>
      <w:r>
        <w:rPr>
          <w:b/>
          <w:iCs/>
          <w:szCs w:val="22"/>
          <w:lang w:val="en-US"/>
        </w:rPr>
        <w:t xml:space="preserve">ADR</w:t>
      </w:r>
      <w:r>
        <w:rPr>
          <w:b/>
          <w:iCs/>
          <w:szCs w:val="22"/>
        </w:rPr>
        <w:t xml:space="preserve"> отеля составил 18 806 руб., что на 243 руб. (+1,3%) выше показателя прошлого года. Среди конкурентных наборов Отель уступил только </w:t>
      </w:r>
      <w:r>
        <w:rPr>
          <w:b/>
          <w:iCs/>
          <w:sz w:val="22"/>
          <w:szCs w:val="22"/>
        </w:rPr>
        <w:t xml:space="preserve">отелям уровня</w:t>
      </w:r>
      <w:r>
        <w:rPr>
          <w:b/>
        </w:rPr>
        <w:t xml:space="preserve"> </w:t>
      </w:r>
      <w:r>
        <w:rPr>
          <w:b/>
          <w:iCs/>
          <w:sz w:val="22"/>
          <w:szCs w:val="22"/>
        </w:rPr>
        <w:t xml:space="preserve">Luxury &amp; Upper Upscale (Метрополь (134 номера), Ararat Park Hyatt Moscow (205 номеров), Lotte Moscow (300 номеров), The Carlton Moscow (332 номера), Four Seasons Moscow (180 номеров).</w:t>
      </w:r>
      <w:r>
        <w:rPr>
          <w:b/>
          <w:iCs/>
          <w:sz w:val="22"/>
          <w:szCs w:val="22"/>
        </w:rPr>
      </w:r>
    </w:p>
    <w:p>
      <w:pPr>
        <w:pStyle w:val="Normal"/>
        <w:spacing w:after="60" w:before="120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Normal"/>
        <w:spacing w:after="60" w:before="120"/>
        <w:jc w:val="both"/>
      </w:pPr>
      <w:r>
        <w:rPr>
          <w:b/>
          <w:bCs/>
        </w:rPr>
        <w:t xml:space="preserve">Динамика показателя </w:t>
      </w:r>
      <w:r>
        <w:rPr>
          <w:b/>
          <w:bCs/>
          <w:lang w:val="en-US"/>
        </w:rPr>
        <w:t xml:space="preserve">RevPar</w:t>
      </w:r>
    </w:p>
    <w:p>
      <w:pPr>
        <w:pStyle w:val="Normal"/>
        <w:spacing w:after="240" w:before="0"/>
        <w:ind w:right="0" w:firstLine="709"/>
        <w:jc w:val="both"/>
        <w:rPr>
          <w:b/>
          <w:iCs/>
          <w:u w:val="single"/>
        </w:rPr>
      </w:pPr>
      <w:r>
        <w:t xml:space="preserve">В целом, за 2025 год показатель </w:t>
      </w:r>
      <w:r>
        <w:rPr>
          <w:lang w:val="en-US"/>
        </w:rPr>
        <w:t xml:space="preserve">RevPar</w:t>
      </w:r>
      <w:r>
        <w:t xml:space="preserve"> Савоя составил 14 580 руб., что на 876 руб. или 6,4% выше показателя прошлого года. Для конкурентного окружения №№ 1 и 3 этот показатель и его отклонения относительно прошлого года вышли на уровень соответственно 13 303 руб., что выше на 508 (+4%) и 7 924 (+700 /+9,7%) уровня прошлого года.</w:t>
      </w:r>
      <w:r>
        <w:rPr>
          <w:b/>
          <w:iCs/>
          <w:u w:val="single"/>
        </w:rPr>
      </w:r>
    </w:p>
    <w:p>
      <w:pPr>
        <w:pStyle w:val="Normal"/>
        <w:spacing w:after="240" w:before="0"/>
        <w:ind w:right="0" w:firstLine="709"/>
        <w:jc w:val="center"/>
      </w:pPr>
      <w:r>
        <w:rPr>
          <w:b/>
          <w:iCs/>
          <w:u w:val="single"/>
        </w:rPr>
        <w:t xml:space="preserve">Показатель </w:t>
      </w:r>
      <w:r>
        <w:rPr>
          <w:b/>
          <w:iCs/>
          <w:u w:val="single"/>
          <w:lang w:val="en-US"/>
        </w:rPr>
        <w:t xml:space="preserve">RevPar</w:t>
      </w:r>
      <w:r>
        <w:rPr>
          <w:b/>
          <w:iCs/>
          <w:u w:val="single"/>
        </w:rPr>
        <w:t xml:space="preserve"> Отелей группы сравнения в 2025г.</w:t>
      </w:r>
    </w:p>
    <w:p>
      <w:pPr>
        <w:pStyle w:val="Normal"/>
        <w:spacing w:after="60" w:before="0"/>
        <w:ind w:right="0" w:left="142"/>
        <w:jc w:val="center"/>
        <w:rPr>
          <w:b/>
          <w:iCs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49125" cy="2665654"/>
                <wp:effectExtent l="0" t="0" r="0" b="0"/>
                <wp:docPr id="4" name="_x0000_i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rcRect l="-10" t="-20" r="-10" b="-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125" cy="26656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60.56pt;height:209.89pt;mso-wrap-distance-left:0.00pt;mso-wrap-distance-top:0.00pt;mso-wrap-distance-right:0.00pt;mso-wrap-distance-bottom:0.00pt;z-index:1;" stroked="false">
                <v:imagedata r:id="rId12" o:title="" croptop="-12f" cropleft="-6f" cropbottom="-12f" cropright="-6f"/>
                <o:lock v:ext="edit" rotation="t"/>
              </v:shape>
            </w:pict>
          </mc:Fallback>
        </mc:AlternateContent>
      </w:r>
      <w:r>
        <w:rPr>
          <w:b/>
          <w:iCs/>
        </w:rPr>
      </w:r>
    </w:p>
    <w:p>
      <w:pPr>
        <w:pStyle w:val="Normal"/>
        <w:spacing w:after="60" w:before="0"/>
        <w:jc w:val="both"/>
        <w:rPr>
          <w:b/>
        </w:rPr>
      </w:pPr>
      <w:r>
        <w:rPr>
          <w:b/>
          <w:iCs/>
        </w:rPr>
        <w:t xml:space="preserve">Таким образом, по итогам года, по показателю доходности Отель Савой на второй позиции, уступая </w:t>
      </w:r>
      <w:r>
        <w:rPr>
          <w:b/>
          <w:iCs/>
          <w:szCs w:val="22"/>
        </w:rPr>
        <w:t xml:space="preserve">только </w:t>
      </w:r>
      <w:r>
        <w:rPr>
          <w:b/>
          <w:iCs/>
          <w:sz w:val="22"/>
          <w:szCs w:val="22"/>
        </w:rPr>
        <w:t xml:space="preserve">отелям уровня</w:t>
      </w:r>
      <w:r>
        <w:rPr>
          <w:b/>
        </w:rPr>
        <w:t xml:space="preserve"> </w:t>
      </w:r>
      <w:r>
        <w:rPr>
          <w:b/>
          <w:iCs/>
          <w:sz w:val="22"/>
          <w:szCs w:val="22"/>
        </w:rPr>
        <w:t xml:space="preserve">Luxury &amp; Upper Upscale.</w:t>
      </w:r>
      <w:r>
        <w:rPr>
          <w:b/>
        </w:rPr>
      </w:r>
    </w:p>
    <w:p>
      <w:pPr>
        <w:pStyle w:val="Normal"/>
        <w:spacing w:after="60" w:before="0"/>
        <w:ind w:right="0" w:firstLine="709"/>
        <w:jc w:val="both"/>
        <w:rPr>
          <w:b/>
        </w:rPr>
      </w:pPr>
      <w:r>
        <w:rPr>
          <w:b/>
        </w:rPr>
      </w:r>
    </w:p>
    <w:p>
      <w:pPr>
        <w:pStyle w:val="Normal"/>
        <w:spacing w:after="60" w:before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Табл.3. </w:t>
      </w:r>
      <w:r>
        <w:rPr>
          <w:b/>
          <w:color w:val="000000"/>
          <w:sz w:val="22"/>
          <w:szCs w:val="22"/>
          <w:lang w:val="en-US"/>
        </w:rPr>
        <w:t xml:space="preserve">RevPar</w:t>
      </w:r>
      <w:r>
        <w:rPr>
          <w:b/>
          <w:color w:val="000000"/>
          <w:sz w:val="22"/>
          <w:szCs w:val="22"/>
        </w:rPr>
        <w:t xml:space="preserve"> отелей Москвы в 2025 году по сравнению с 2024 годом.</w:t>
      </w:r>
      <w:r>
        <w:rPr>
          <w:rFonts w:ascii="Calibri" w:hAnsi="Calibri" w:cs="Calibri"/>
          <w:b/>
          <w:bCs/>
          <w:sz w:val="20"/>
          <w:szCs w:val="20"/>
        </w:rPr>
      </w:r>
    </w:p>
    <w:tbl>
      <w:tblPr>
        <w:tblInd w:w="-567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062"/>
        <w:gridCol w:w="774"/>
        <w:gridCol w:w="957"/>
        <w:gridCol w:w="957"/>
        <w:gridCol w:w="760"/>
        <w:gridCol w:w="774"/>
        <w:gridCol w:w="957"/>
        <w:gridCol w:w="957"/>
        <w:gridCol w:w="762"/>
        <w:gridCol w:w="774"/>
        <w:gridCol w:w="957"/>
        <w:gridCol w:w="957"/>
        <w:gridCol w:w="755"/>
        <w:gridCol w:w="14"/>
      </w:tblGrid>
      <w:tr>
        <w:trPr>
          <w:trHeight w:val="346"/>
        </w:trPr>
        <w:tc>
          <w:tcPr>
            <w:tcW w:w="0" w:type="auto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RevPAR</w:t>
            </w:r>
          </w:p>
        </w:tc>
      </w:tr>
      <w:tr>
        <w:trPr>
          <w:trHeight w:val="226"/>
        </w:trPr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Месяц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2024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% изменений</w:t>
            </w:r>
          </w:p>
        </w:tc>
      </w:tr>
      <w:tr>
        <w:trPr>
          <w:trHeight w:val="1066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Январь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14 890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13 142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21 584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7 028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12 788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11 894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19 318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6 306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55,4%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83,8%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134,9%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33,5%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Февраль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13 183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12 071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20 414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7 893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13 595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11 807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18 816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7 110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76,0%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89,4%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27,5%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Март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12 462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10 351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15 234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7 298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9 680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9 583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15 660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6 098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60,5%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9,2%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13 523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11 847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19 033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7 390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11 987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11 079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17 912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6 491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48,3%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63,7%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92,9%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22,8%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Апрель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14 700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12 693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23 441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8 224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11 051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10 724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17 627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6 614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10,8%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Май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14 210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13 876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23 470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7 570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11 113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10 509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18 518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6 387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44,3%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42,9%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72,2%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18,8%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Июнь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12 863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12 623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20 748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8 030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14 003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13 084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24 330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7 100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40,6%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52,8%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79,1%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17,9%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13 927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13 073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22 561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7 937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12 046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11 418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20 140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6 698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36,2%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43,9%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77,2%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15,8%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Июль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15 092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13 385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21 197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7 782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15 226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14 208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26 041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7 475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50,3%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62,5%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99,2%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24,7%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Август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15 664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14 462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24 667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7 974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16 818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16 015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30 087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8 348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43,9%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47,2%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74,2%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22,9%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Сентябрь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14 688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12 845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19 844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8 009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13 177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12 367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22 104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7 316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32,3%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-0,9%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15 153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13 572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21 921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7 920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15 094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14 217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26 120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7 717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37,1%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41,9%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66,7%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14,9%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Октябрь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13 789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12 682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18 303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7 880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14 148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12 902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22 557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7 734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23,7%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28,6%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41,5%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5,6%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Ноябрь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14 134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12 657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18 855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8 067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13 106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12 862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20 109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7 095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-12,2%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Декабрь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19 091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18 650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31 287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9 334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19 625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17 626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32 898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9 314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1,7%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15 688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14 685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22 889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8 431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15 654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14 500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25 238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7 997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-2,3%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Итого по году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14 580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13 303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21 633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13 704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12 795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22 370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7 224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32,8%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37,3%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56,4%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11,1%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ind w:right="0" w:firstLine="709"/>
        <w:jc w:val="both"/>
        <w:rPr>
          <w:b/>
        </w:rPr>
      </w:pPr>
      <w:r>
        <w:rPr>
          <w:b/>
        </w:rPr>
      </w:r>
    </w:p>
    <w:p>
      <w:pPr>
        <w:pStyle w:val="Heading3"/>
        <w:numPr>
          <w:ilvl w:val="2"/>
          <w:numId w:val="1"/>
        </w:numPr>
        <w:spacing w:after="0" w:before="0"/>
        <w:ind w:right="0" w:hanging="720" w:left="1428"/>
        <w:rPr>
          <w:lang w:val="en-US"/>
        </w:rPr>
      </w:pPr>
      <w:r>
        <w:t xml:space="preserve">Анализ продаж 202</w:t>
      </w:r>
      <w:r>
        <w:rPr>
          <w:lang w:val="ru-RU"/>
        </w:rPr>
        <w:t xml:space="preserve">5 </w:t>
      </w:r>
      <w:r>
        <w:t xml:space="preserve">года в разрезе сегментов</w:t>
      </w: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after="60" w:before="0"/>
        <w:ind w:right="0" w:firstLine="709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Распределение доходов по сегментам по сравнению с 2024 годом претерпело некоторые изменения по всем сегментам рынка, в связи с оживлением в стране внутреннего туризма:</w:t>
      </w:r>
      <w:r>
        <w:rPr>
          <w:color w:val="000000"/>
          <w:sz w:val="22"/>
          <w:szCs w:val="22"/>
        </w:rPr>
      </w:r>
    </w:p>
    <w:p>
      <w:pPr>
        <w:pStyle w:val="Normal"/>
        <w:spacing w:after="60" w:before="0"/>
        <w:ind w:righ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2025 году: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ind w:right="0" w:hanging="357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Доля туристического сегмента осталась на уровне 9%, но при этом рост средней цены составил +10% (+1 527 руб.);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ind w:right="0" w:hanging="357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Доля корпоративного сегмента так же не изменилась по сравнению с 2024 годом и составила 4%, при падении средней цены на 4,7% (-704 руб.);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ind w:right="0" w:hanging="357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Доля сегмента индивидуальных бронирований (тел., факс) упала на 4 пункта и составила 31%, при росте средней цены на 3% (+566 руб.);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ind w:right="0" w:hanging="357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Доля бронирований через электронные каналы выросла на 4 пункта (+15,3%), при падении </w:t>
      </w:r>
      <w:r>
        <w:rPr>
          <w:color w:val="000000"/>
          <w:sz w:val="22"/>
          <w:szCs w:val="22"/>
          <w:lang w:val="en-US"/>
        </w:rPr>
        <w:t xml:space="preserve">ADR</w:t>
      </w:r>
      <w:r>
        <w:rPr>
          <w:color w:val="000000"/>
          <w:sz w:val="22"/>
          <w:szCs w:val="22"/>
        </w:rPr>
        <w:t xml:space="preserve"> на 2,1% (-428 руб.);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бронирования через </w:t>
      </w:r>
      <w:r>
        <w:rPr>
          <w:color w:val="000000"/>
          <w:sz w:val="22"/>
          <w:szCs w:val="22"/>
          <w:lang w:val="en-US"/>
        </w:rPr>
        <w:t xml:space="preserve">Web</w:t>
      </w:r>
      <w:r>
        <w:rPr>
          <w:color w:val="000000"/>
          <w:sz w:val="22"/>
          <w:szCs w:val="22"/>
        </w:rPr>
        <w:t xml:space="preserve">-</w:t>
      </w:r>
      <w:r>
        <w:rPr>
          <w:color w:val="000000"/>
          <w:sz w:val="22"/>
          <w:szCs w:val="22"/>
          <w:lang w:val="en-US"/>
        </w:rPr>
        <w:t xml:space="preserve">site</w:t>
      </w:r>
      <w:r>
        <w:rPr>
          <w:color w:val="000000"/>
          <w:sz w:val="22"/>
          <w:szCs w:val="22"/>
        </w:rPr>
        <w:t xml:space="preserve"> осталось на уровне 26%, при падении средней цены на 1,5% (-297 руб.)</w:t>
      </w:r>
      <w:r>
        <w:rPr>
          <w:color w:val="000000"/>
          <w:sz w:val="22"/>
          <w:szCs w:val="22"/>
        </w:rPr>
      </w:r>
    </w:p>
    <w:p>
      <w:pPr>
        <w:pStyle w:val="Normal"/>
        <w:spacing w:after="60" w:before="0"/>
        <w:ind w:right="0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after="60" w:before="0"/>
        <w:ind w:right="567" w:left="993"/>
        <w:jc w:val="both"/>
        <w:rPr>
          <w:color w:val="000000"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7885" cy="3767455"/>
                <wp:effectExtent l="0" t="0" r="0" b="0"/>
                <wp:docPr id="5" name="_x0000_i20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-10" t="-16" r="-10" b="-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7885" cy="3767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67.55pt;height:296.65pt;mso-wrap-distance-left:0.00pt;mso-wrap-distance-top:0.00pt;mso-wrap-distance-right:0.00pt;mso-wrap-distance-bottom:0.00pt;z-index:1;" stroked="false">
                <v:imagedata r:id="rId13" o:title="" croptop="-9f" cropleft="-6f" cropbottom="-9f" cropright="-6f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</w:r>
    </w:p>
    <w:p>
      <w:pPr>
        <w:pStyle w:val="Normal"/>
        <w:spacing w:after="60" w:befor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after="120" w:before="120"/>
        <w:ind w:right="0"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after="120" w:before="120"/>
        <w:ind w:right="0" w:left="993"/>
        <w:jc w:val="both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46190" cy="3572510"/>
                <wp:effectExtent l="0" t="0" r="0" b="0"/>
                <wp:docPr id="6" name="_x0000_i20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rcRect l="-8" t="-16" r="-8" b="-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6190" cy="3572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99.70pt;height:281.30pt;mso-wrap-distance-left:0.00pt;mso-wrap-distance-top:0.00pt;mso-wrap-distance-right:0.00pt;mso-wrap-distance-bottom:0.00pt;z-index:1;" stroked="false">
                <v:imagedata r:id="rId14" o:title="" croptop="-9f" cropleft="-4f" cropbottom="-9f" cropright="-4f"/>
                <o:lock v:ext="edit" rotation="t"/>
              </v:shape>
            </w:pict>
          </mc:Fallback>
        </mc:AlternateContent>
      </w:r>
    </w:p>
    <w:p>
      <w:pPr>
        <w:pStyle w:val="Normal"/>
        <w:spacing w:after="120" w:before="120"/>
        <w:ind w:right="199" w:left="993"/>
        <w:jc w:val="both"/>
      </w:pP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Табл. № 4 ОСНОВНЫЕ СТРАНЫ-ПОСТАВЩИКИ В 2025 г.</w:t>
      </w: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40"/>
        <w:gridCol w:w="2121"/>
        <w:gridCol w:w="1008"/>
        <w:gridCol w:w="1276"/>
        <w:gridCol w:w="503"/>
        <w:gridCol w:w="2332"/>
        <w:gridCol w:w="851"/>
        <w:gridCol w:w="1276"/>
      </w:tblGrid>
      <w:tr>
        <w:trPr>
          <w:trHeight w:val="270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п/п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Название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2025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п/п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Название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2024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2024</w:t>
            </w:r>
          </w:p>
        </w:tc>
      </w:tr>
      <w:tr>
        <w:trPr>
          <w:trHeight w:val="270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н/н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Доход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н/н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Доход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Россия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10 797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203 239 931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Россия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12 130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244 334 592</w:t>
            </w:r>
          </w:p>
        </w:tc>
      </w:tr>
      <w:tr>
        <w:trPr>
          <w:trHeight w:val="230"/>
        </w:trPr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Саудовская Аравия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820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15 435 468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ОАЭ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1 086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22 060 280</w:t>
            </w:r>
          </w:p>
        </w:tc>
      </w:tr>
      <w:tr>
        <w:trPr>
          <w:trHeight w:val="240"/>
        </w:trPr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Кувейт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473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8 903 629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Кувейт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905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18 489 676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ОАЭ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386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7 265 964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Саудовская Аравия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1 267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23 896 732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КНР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256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4 818 878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Казахстан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256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3 913 798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Белоруссия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169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3 181 212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Оман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181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1 913 610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Казахстан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2 051 788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США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128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901 050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Турция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1 825 903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Индия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1 140 070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Германия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68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1 280 014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Турция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205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4 740 220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Индия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1 035 306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Катар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181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1 231 200</w:t>
            </w:r>
          </w:p>
        </w:tc>
      </w:tr>
      <w:tr>
        <w:trPr>
          <w:trHeight w:val="270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18 973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357 143 838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18 104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334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986 051</w:t>
            </w:r>
          </w:p>
        </w:tc>
      </w:tr>
    </w:tbl>
    <w:p>
      <w:pPr>
        <w:pStyle w:val="BodyText"/>
        <w:ind w:right="0"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II</w:t>
      </w:r>
      <w:r>
        <w:rPr>
          <w:b/>
          <w:sz w:val="22"/>
          <w:szCs w:val="22"/>
        </w:rPr>
        <w:t xml:space="preserve">.</w:t>
      </w:r>
      <w:r>
        <w:rPr>
          <w:rStyle w:val="UserStyle_57"/>
          <w:b w:val="0"/>
          <w:lang w:val="ru-RU"/>
        </w:rPr>
        <w:t xml:space="preserve"> </w:t>
      </w:r>
      <w:r>
        <w:rPr>
          <w:rStyle w:val="UserStyle_57"/>
          <w:lang w:val="ru-RU"/>
        </w:rPr>
        <w:t xml:space="preserve">Отчет Совета Директоров АО «Инфа-Отель» о результатах развития Общества по</w:t>
      </w:r>
      <w:r>
        <w:rPr>
          <w:b/>
        </w:rPr>
        <w:t xml:space="preserve"> приоритетным направлениям деятельности </w:t>
      </w:r>
      <w:r>
        <w:rPr>
          <w:sz w:val="22"/>
          <w:szCs w:val="22"/>
        </w:rPr>
      </w:r>
    </w:p>
    <w:p>
      <w:pPr>
        <w:pStyle w:val="BodyTextIndent"/>
        <w:spacing w:after="60" w:before="60"/>
        <w:ind w:right="0" w:firstLine="709"/>
        <w:rPr>
          <w:sz w:val="22"/>
          <w:szCs w:val="22"/>
        </w:rPr>
      </w:pPr>
      <w:r>
        <w:rPr>
          <w:sz w:val="22"/>
          <w:szCs w:val="22"/>
        </w:rPr>
        <w:t xml:space="preserve">В 2025 году основными направлениями деятельности АО «ИНФА-ОТЕЛЬ» остаются гостиничные услуги (88,2 % от валового дохода). Дополнительными источниками дохода являются: доход от завтраков (1,6%) направления сдачи в аренду нежилого фонда (5,5%), оказание бытовых услуг (прачечная/химчистка 0,65% от валового дохода).</w:t>
      </w:r>
      <w:r>
        <w:rPr>
          <w:sz w:val="22"/>
          <w:szCs w:val="22"/>
        </w:rPr>
      </w:r>
    </w:p>
    <w:p>
      <w:pPr>
        <w:pStyle w:val="BodyTextIndent"/>
        <w:spacing w:after="60" w:before="60"/>
        <w:ind w:right="0" w:firstLine="709"/>
        <w:rPr>
          <w:sz w:val="22"/>
          <w:szCs w:val="22"/>
        </w:rPr>
      </w:pPr>
      <w:r>
        <w:rPr>
          <w:sz w:val="22"/>
          <w:szCs w:val="22"/>
        </w:rPr>
        <w:t xml:space="preserve">Основные коды ОКВЭД согласно общероссийского классификатора видов экономической деятельности </w:t>
      </w:r>
      <w:r>
        <w:rPr>
          <w:bCs/>
          <w:sz w:val="22"/>
          <w:szCs w:val="22"/>
        </w:rPr>
        <w:t xml:space="preserve">ОК 029-2014 (КДЕС Ред. 2)</w:t>
      </w:r>
      <w:r>
        <w:rPr>
          <w:sz w:val="22"/>
          <w:szCs w:val="22"/>
        </w:rPr>
        <w:t xml:space="preserve">: 55.10, 56.10.1, 56.30, 93.01, 93.02, 93.04, 70.2, 71.33.1.</w:t>
      </w:r>
      <w:r>
        <w:rPr>
          <w:sz w:val="22"/>
          <w:szCs w:val="22"/>
        </w:rPr>
      </w:r>
    </w:p>
    <w:p>
      <w:pPr>
        <w:pStyle w:val="BodyTextIndent"/>
        <w:spacing w:after="60" w:before="60"/>
        <w:ind w:right="0" w:firstLine="7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numPr>
          <w:ilvl w:val="1"/>
          <w:numId w:val="7"/>
        </w:numPr>
        <w:outlineLvl w:val="1"/>
        <w:rPr>
          <w:b/>
          <w:color w:val="ffffff"/>
          <w:sz w:val="20"/>
          <w:szCs w:val="20"/>
        </w:rPr>
      </w:pPr>
      <w:r>
        <w:rPr>
          <w:rStyle w:val="UserStyle_67"/>
          <w:b/>
          <w:bCs/>
          <w:sz w:val="22"/>
          <w:szCs w:val="22"/>
        </w:rPr>
        <w:t xml:space="preserve">Сравнение показателей дохода от продажи номерного фонда Отеля «Савой» за 2021-202</w:t>
      </w:r>
      <w:r>
        <w:rPr>
          <w:rStyle w:val="UserStyle_67"/>
          <w:b/>
          <w:bCs/>
          <w:sz w:val="22"/>
          <w:szCs w:val="22"/>
          <w:lang w:val="ru-RU"/>
        </w:rPr>
        <w:t xml:space="preserve">5</w:t>
      </w:r>
      <w:r>
        <w:rPr>
          <w:rStyle w:val="UserStyle_67"/>
          <w:b/>
          <w:bCs/>
          <w:sz w:val="22"/>
          <w:szCs w:val="22"/>
        </w:rPr>
        <w:t xml:space="preserve"> гг.</w:t>
      </w:r>
      <w:r>
        <w:rPr>
          <w:b/>
          <w:color w:val="ffffff"/>
          <w:sz w:val="20"/>
          <w:szCs w:val="20"/>
        </w:rPr>
      </w:r>
    </w:p>
    <w:tbl>
      <w:tblPr>
        <w:tblInd w:w="-208" w:type="dxa"/>
        <w:tblW w:w="5000" w:type="pct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2976"/>
        <w:gridCol w:w="1588"/>
        <w:gridCol w:w="1441"/>
        <w:gridCol w:w="1441"/>
        <w:gridCol w:w="1441"/>
        <w:gridCol w:w="1459"/>
      </w:tblGrid>
      <w:tr>
        <w:trPr>
          <w:trHeight w:val="227"/>
        </w:trPr>
        <w:tc>
          <w:tcPr>
            <w:tcW w:w="0" w:type="auto"/>
            <w:tcBorders>
              <w:top w:val="thickThinLargeGap" w:color="c0c0c0" w:sz="24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Год сравнения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2021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</w:t>
            </w:r>
            <w:r>
              <w:rPr>
                <w:b/>
                <w:color w:val="ffffff"/>
                <w:sz w:val="20"/>
                <w:szCs w:val="20"/>
                <w:lang w:val="en-US"/>
              </w:rPr>
              <w:t xml:space="preserve">22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2023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2024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2025</w:t>
            </w:r>
          </w:p>
        </w:tc>
      </w:tr>
      <w:tr>
        <w:trPr>
          <w:trHeight w:val="28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Январь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10 902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17 949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16 687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26 113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30 917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Февраль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10 188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16 808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14 952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26 114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25 280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13 635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15 276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16 025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19 759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25 857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Апрель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15 944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17 600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17 602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22 068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29 547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Май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17 600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10 499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15 719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23 082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29 513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Июнь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17 330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10 668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19 620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28 147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25 832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Июль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12 192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14 438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20 678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31 627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31 347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18 218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14 787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23 813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34 932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32 650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Сентябрь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20 622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15 889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22 165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26 485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29 524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Октябрь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20 226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11 333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23 304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29 435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28 630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Ноябрь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15 324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16 195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24 666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26 344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28 408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Декабрь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24 080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19 544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32 303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40 881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39 640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ВСЕГО: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196 262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168 699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247 533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334 986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24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357 143</w:t>
            </w:r>
          </w:p>
        </w:tc>
      </w:tr>
    </w:tbl>
    <w:p>
      <w:pPr>
        <w:pStyle w:val="Normal"/>
        <w:keepNext w:val="true"/>
        <w:numPr>
          <w:ilvl w:val="1"/>
          <w:numId w:val="7"/>
        </w:numPr>
        <w:spacing w:after="120" w:before="120"/>
        <w:ind w:right="0" w:hanging="431" w:left="788"/>
        <w:outlineLvl w:val="1"/>
      </w:pPr>
      <w:bookmarkStart w:id="1" w:name="_GoBack"/>
      <w:r>
        <w:rPr>
          <w:rStyle w:val="UserStyle_67"/>
          <w:sz w:val="22"/>
          <w:szCs w:val="22"/>
        </w:rPr>
        <w:t xml:space="preserve">Сравнение </w:t>
      </w:r>
      <w:r>
        <w:rPr>
          <w:rStyle w:val="UserStyle_67"/>
          <w:sz w:val="22"/>
          <w:szCs w:val="22"/>
          <w:lang w:val="ru-RU"/>
        </w:rPr>
        <w:t xml:space="preserve">основных </w:t>
      </w:r>
      <w:r>
        <w:rPr>
          <w:rStyle w:val="UserStyle_67"/>
          <w:sz w:val="22"/>
          <w:szCs w:val="22"/>
        </w:rPr>
        <w:t xml:space="preserve">показателей </w:t>
      </w:r>
      <w:r>
        <w:rPr>
          <w:rStyle w:val="UserStyle_67"/>
          <w:sz w:val="22"/>
          <w:szCs w:val="22"/>
          <w:lang w:val="ru-RU"/>
        </w:rPr>
        <w:t xml:space="preserve">продаж</w:t>
      </w:r>
      <w:r>
        <w:rPr>
          <w:rStyle w:val="UserStyle_67"/>
          <w:sz w:val="22"/>
          <w:szCs w:val="22"/>
        </w:rPr>
        <w:t xml:space="preserve"> номерного фонда Отеля «Савой» за 202</w:t>
      </w:r>
      <w:r>
        <w:rPr>
          <w:rStyle w:val="UserStyle_67"/>
          <w:sz w:val="22"/>
          <w:szCs w:val="22"/>
          <w:lang w:val="ru-RU"/>
        </w:rPr>
        <w:t xml:space="preserve">1</w:t>
      </w:r>
      <w:r>
        <w:rPr>
          <w:rStyle w:val="UserStyle_67"/>
          <w:sz w:val="22"/>
          <w:szCs w:val="22"/>
        </w:rPr>
        <w:t xml:space="preserve">-202</w:t>
      </w:r>
      <w:r>
        <w:rPr>
          <w:rStyle w:val="UserStyle_67"/>
          <w:sz w:val="22"/>
          <w:szCs w:val="22"/>
          <w:lang w:val="ru-RU"/>
        </w:rPr>
        <w:t xml:space="preserve">5</w:t>
      </w:r>
      <w:r>
        <w:rPr>
          <w:rStyle w:val="UserStyle_67"/>
          <w:sz w:val="22"/>
          <w:szCs w:val="22"/>
        </w:rPr>
        <w:t xml:space="preserve"> гг.</w:t>
      </w:r>
    </w:p>
    <w:p>
      <w:pPr>
        <w:pStyle w:val="Normal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10997" cy="2610422"/>
                <wp:effectExtent l="0" t="0" r="0" b="0"/>
                <wp:docPr id="7" name="_x0000_i20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rcRect l="-7" t="-22" r="-7" b="-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0997" cy="26104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536.30pt;height:205.55pt;mso-wrap-distance-left:0.00pt;mso-wrap-distance-top:0.00pt;mso-wrap-distance-right:0.00pt;mso-wrap-distance-bottom:0.00pt;z-index:1;" stroked="false">
                <v:imagedata r:id="rId15" o:title="" croptop="-13f" cropleft="-4f" cropbottom="-13f" cropright="-4f"/>
                <o:lock v:ext="edit" rotation="t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spacing w:after="240" w:before="240"/>
        <w:ind w:right="0" w:hanging="76" w:left="360"/>
        <w:rPr>
          <w:b/>
          <w:color w:val="ffffff"/>
          <w:sz w:val="22"/>
          <w:szCs w:val="22"/>
        </w:rPr>
      </w:pPr>
      <w:r>
        <w:t xml:space="preserve">Информация об объеме каждого из энергоресурсов, использованных в отчетном году.</w:t>
      </w:r>
      <w:r>
        <w:rPr>
          <w:b/>
          <w:color w:val="ffffff"/>
          <w:sz w:val="22"/>
          <w:szCs w:val="22"/>
        </w:rPr>
      </w:r>
    </w:p>
    <w:tbl>
      <w:tblPr>
        <w:tblInd w:w="-163" w:type="dxa"/>
        <w:tblW w:w="5000" w:type="pct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4275"/>
        <w:gridCol w:w="2337"/>
        <w:gridCol w:w="1852"/>
        <w:gridCol w:w="1882"/>
      </w:tblGrid>
      <w:tr>
        <w:trPr>
          <w:trHeight w:val="23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center"/>
          </w:tcPr>
          <w:p>
            <w:pPr>
              <w:pStyle w:val="Normal"/>
              <w:spacing w:after="240" w:before="240"/>
              <w:ind w:right="0" w:firstLine="708"/>
              <w:jc w:val="center"/>
            </w:pPr>
            <w:r>
              <w:rPr>
                <w:b/>
                <w:color w:val="ffffff"/>
                <w:sz w:val="22"/>
                <w:szCs w:val="22"/>
              </w:rPr>
              <w:t xml:space="preserve">Вид энергетического ресурса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2"/>
                <w:szCs w:val="22"/>
              </w:rPr>
              <w:t xml:space="preserve">Объём потребления в натуральном выражении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2"/>
                <w:szCs w:val="22"/>
              </w:rPr>
              <w:t xml:space="preserve">Единица измерения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center"/>
          </w:tcPr>
          <w:p>
            <w:pPr>
              <w:pStyle w:val="Normal"/>
              <w:ind w:right="0" w:hanging="41"/>
              <w:jc w:val="center"/>
            </w:pPr>
            <w:r>
              <w:rPr>
                <w:b/>
                <w:color w:val="ffffff"/>
                <w:sz w:val="22"/>
                <w:szCs w:val="22"/>
              </w:rPr>
              <w:t xml:space="preserve">Объём потребления, тыс. руб.</w:t>
            </w:r>
          </w:p>
        </w:tc>
      </w:tr>
      <w:tr>
        <w:trPr>
          <w:trHeight w:val="23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ind w:right="0" w:firstLine="708"/>
              <w:jc w:val="both"/>
            </w:pPr>
            <w:r>
              <w:rPr>
                <w:sz w:val="20"/>
                <w:szCs w:val="20"/>
              </w:rPr>
              <w:t xml:space="preserve">Тепловая энергия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ind w:right="0" w:firstLine="708"/>
              <w:jc w:val="center"/>
            </w:pPr>
            <w:r>
              <w:rPr>
                <w:sz w:val="22"/>
              </w:rPr>
              <w:t xml:space="preserve">1 819,0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Гкал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2"/>
              </w:rPr>
              <w:t xml:space="preserve">4 013,4</w:t>
            </w:r>
          </w:p>
        </w:tc>
      </w:tr>
      <w:tr>
        <w:trPr>
          <w:trHeight w:val="23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ind w:right="0" w:firstLine="708"/>
              <w:jc w:val="both"/>
            </w:pPr>
            <w:r>
              <w:rPr>
                <w:sz w:val="20"/>
                <w:szCs w:val="20"/>
              </w:rPr>
              <w:t xml:space="preserve">Электрическая энергия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ind w:right="0" w:firstLine="708"/>
              <w:jc w:val="center"/>
            </w:pPr>
            <w:r>
              <w:rPr>
                <w:sz w:val="22"/>
              </w:rPr>
              <w:t xml:space="preserve">599,1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Тыс. Квт/час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2"/>
              </w:rPr>
              <w:t xml:space="preserve">4 792,7</w:t>
            </w:r>
          </w:p>
        </w:tc>
      </w:tr>
    </w:tbl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Иные виды энергетических ресурсов, помимо указанных в таблице, в отчетном году не использовались.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7"/>
        </w:num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Перспективы развития отрасли и АО "ИНФА-ОТЕЛЬ" на 2026 год.</w:t>
      </w: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2"/>
        <w:numPr>
          <w:ilvl w:val="0"/>
          <w:numId w:val="0"/>
        </w:numPr>
        <w:ind w:right="0" w:firstLine="763" w:left="360"/>
        <w:rPr>
          <w:color w:val="000000"/>
        </w:rPr>
      </w:pPr>
      <w:r>
        <w:rPr>
          <w:lang w:val="ru-RU"/>
        </w:rPr>
        <w:t xml:space="preserve">1. </w:t>
      </w:r>
      <w:r>
        <w:t xml:space="preserve">Общая часть</w:t>
      </w:r>
      <w:r>
        <w:rPr>
          <w:color w:val="000000"/>
        </w:rPr>
      </w:r>
    </w:p>
    <w:p>
      <w:pPr>
        <w:pStyle w:val="BodyText"/>
        <w:jc w:val="both"/>
        <w:rPr>
          <w:color w:val="000000"/>
          <w:sz w:val="22"/>
          <w:szCs w:val="22"/>
        </w:rPr>
      </w:pPr>
      <w:r>
        <w:rPr>
          <w:color w:val="000000"/>
        </w:rPr>
        <w:tab/>
        <w:tab/>
      </w:r>
      <w:r>
        <w:rPr>
          <w:color w:val="000000"/>
          <w:sz w:val="22"/>
          <w:szCs w:val="22"/>
        </w:rPr>
        <w:t xml:space="preserve">Существующие логистические и финансовые ограничения окажут существенное влияние на динамику въездного потока в РФ. </w:t>
      </w:r>
      <w:r>
        <w:rPr>
          <w:color w:val="000000"/>
          <w:sz w:val="22"/>
          <w:szCs w:val="22"/>
        </w:rPr>
      </w:r>
    </w:p>
    <w:p>
      <w:pPr>
        <w:pStyle w:val="BodyTex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BodyText"/>
        <w:ind w:right="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Ключевой задачей на 2026 год является сохранение загрузки при удержании конкурентоспособной цены. Основной упор планируется на внутренний и въездной туризм, привлечение индивидуальных путешественников. Стоит отметить, что начавшая работать в России с 1 августа система электронных виз привела к росту бронирований гостиниц интуристами на 25% по сравнению с предыдущим месяцем и на 40% год к году. Смягчение визовой политики привлекает туристов не только из Индии, Ирана, Турции и Китая, но даже из европейских стран, пишет «Коммерсант».</w:t>
      </w:r>
      <w:r>
        <w:rPr>
          <w:color w:val="000000"/>
          <w:sz w:val="22"/>
          <w:szCs w:val="22"/>
        </w:rPr>
      </w:r>
    </w:p>
    <w:p>
      <w:pPr>
        <w:pStyle w:val="BodyTex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BodyText"/>
        <w:ind w:right="0" w:firstLine="57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 xml:space="preserve">Также Генконсул РФ в китайском городе Шэньян Сергей Черненко заявил: «Спрос на туристические поездки в Россию среди граждан Китая достиг доковидных значений, среди популярных направлений – Москва, Санкт-Петербург и Сочи.»</w:t>
      </w:r>
      <w:r>
        <w:rPr>
          <w:color w:val="000000"/>
          <w:sz w:val="22"/>
          <w:szCs w:val="22"/>
          <w:lang w:val="ru-RU"/>
        </w:rPr>
      </w:r>
    </w:p>
    <w:p>
      <w:pPr>
        <w:pStyle w:val="Heading2"/>
        <w:numPr>
          <w:ilvl w:val="0"/>
          <w:numId w:val="0"/>
        </w:numPr>
        <w:tabs>
          <w:tab w:val="left" w:leader="none" w:pos="1134"/>
        </w:tabs>
        <w:ind w:right="0" w:hanging="576" w:left="57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</w:r>
    </w:p>
    <w:p>
      <w:pPr>
        <w:pStyle w:val="Heading2"/>
        <w:numPr>
          <w:ilvl w:val="0"/>
          <w:numId w:val="0"/>
        </w:numPr>
        <w:tabs>
          <w:tab w:val="left" w:leader="none" w:pos="1134"/>
        </w:tabs>
        <w:ind w:right="0" w:hanging="576" w:left="576"/>
        <w:jc w:val="both"/>
        <w:rPr>
          <w:rStyle w:val="UserStyle_60"/>
          <w:iCs/>
          <w:sz w:val="22"/>
          <w:szCs w:val="22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en-US"/>
        </w:rPr>
        <w:t xml:space="preserve">VI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 xml:space="preserve">Риски, которые могут существенно повлиять на снижение загрузки и/или средней цены</w:t>
      </w:r>
      <w:r>
        <w:rPr>
          <w:rStyle w:val="UserStyle_60"/>
          <w:iCs/>
          <w:sz w:val="22"/>
          <w:szCs w:val="22"/>
        </w:rPr>
        <w:t xml:space="preserve"> в 20</w:t>
      </w:r>
      <w:r>
        <w:rPr>
          <w:rStyle w:val="UserStyle_60"/>
          <w:iCs/>
          <w:sz w:val="22"/>
          <w:szCs w:val="22"/>
          <w:lang w:val="ru-RU"/>
        </w:rPr>
        <w:t xml:space="preserve">26 </w:t>
      </w:r>
      <w:r>
        <w:rPr>
          <w:rStyle w:val="UserStyle_60"/>
          <w:iCs/>
          <w:sz w:val="22"/>
          <w:szCs w:val="22"/>
        </w:rPr>
        <w:t xml:space="preserve">г</w:t>
      </w:r>
      <w:r>
        <w:rPr>
          <w:rStyle w:val="UserStyle_60"/>
          <w:iCs/>
          <w:sz w:val="22"/>
          <w:szCs w:val="22"/>
          <w:lang w:val="ru-RU"/>
        </w:rPr>
        <w:t xml:space="preserve">.</w:t>
      </w:r>
      <w:r>
        <w:rPr>
          <w:rStyle w:val="UserStyle_60"/>
          <w:iCs/>
          <w:sz w:val="22"/>
          <w:szCs w:val="22"/>
        </w:rPr>
      </w:r>
    </w:p>
    <w:p>
      <w:pPr>
        <w:pStyle w:val="BodyText"/>
        <w:numPr>
          <w:ilvl w:val="2"/>
          <w:numId w:val="11"/>
        </w:numPr>
        <w:jc w:val="both"/>
        <w:rPr>
          <w:rStyle w:val="UserStyle_60"/>
          <w:iCs/>
          <w:sz w:val="22"/>
          <w:szCs w:val="22"/>
        </w:rPr>
      </w:pPr>
      <w:r>
        <w:rPr>
          <w:rStyle w:val="UserStyle_60"/>
          <w:iCs/>
          <w:sz w:val="22"/>
          <w:szCs w:val="22"/>
        </w:rPr>
        <w:t xml:space="preserve">Серьезное сокращение туристического потока в связи с геополитической ситуации в мире, распространением коронавирусной инфекции, и закрытием мировых границ.</w:t>
      </w:r>
      <w:r>
        <w:rPr>
          <w:rStyle w:val="UserStyle_60"/>
          <w:iCs/>
          <w:sz w:val="22"/>
          <w:szCs w:val="22"/>
        </w:rPr>
      </w:r>
    </w:p>
    <w:p>
      <w:pPr>
        <w:pStyle w:val="BodyText"/>
        <w:numPr>
          <w:ilvl w:val="2"/>
          <w:numId w:val="11"/>
        </w:numPr>
        <w:jc w:val="both"/>
        <w:rPr>
          <w:rStyle w:val="UserStyle_60"/>
          <w:iCs/>
          <w:sz w:val="22"/>
          <w:szCs w:val="22"/>
        </w:rPr>
      </w:pPr>
      <w:r>
        <w:rPr>
          <w:rStyle w:val="UserStyle_60"/>
          <w:iCs/>
          <w:sz w:val="22"/>
          <w:szCs w:val="22"/>
        </w:rPr>
        <w:t xml:space="preserve">Колебания курса Евро и доллара США. Гостиничный бизнес делает ставку на внутренний туризм, а с учетом колебаний курса валюты, покупательская способность снижается</w:t>
      </w:r>
      <w:r>
        <w:rPr>
          <w:rStyle w:val="UserStyle_60"/>
          <w:iCs/>
          <w:sz w:val="22"/>
          <w:szCs w:val="22"/>
        </w:rPr>
      </w:r>
    </w:p>
    <w:p>
      <w:pPr>
        <w:pStyle w:val="BodyText"/>
        <w:numPr>
          <w:ilvl w:val="2"/>
          <w:numId w:val="11"/>
        </w:numPr>
        <w:jc w:val="both"/>
        <w:rPr>
          <w:rStyle w:val="UserStyle_60"/>
          <w:iCs/>
          <w:sz w:val="22"/>
          <w:szCs w:val="22"/>
        </w:rPr>
      </w:pPr>
      <w:r>
        <w:rPr>
          <w:rStyle w:val="UserStyle_60"/>
          <w:iCs/>
          <w:sz w:val="22"/>
          <w:szCs w:val="22"/>
        </w:rPr>
        <w:t xml:space="preserve">российские ОТА, почувствовав монополию на рынке, подняли процент комиссии от 15% до 30%, хотя в 2022 году она составляла 10%. В свою очередь, пропорционально повысить цены отельеры не могут из-за отсутствия роста доходов гостей</w:t>
      </w:r>
      <w:r>
        <w:rPr>
          <w:rStyle w:val="UserStyle_60"/>
          <w:iCs/>
          <w:sz w:val="22"/>
          <w:szCs w:val="22"/>
        </w:rPr>
      </w:r>
    </w:p>
    <w:p>
      <w:pPr>
        <w:pStyle w:val="BodyText"/>
        <w:numPr>
          <w:ilvl w:val="2"/>
          <w:numId w:val="11"/>
        </w:numPr>
        <w:jc w:val="both"/>
      </w:pPr>
      <w:r>
        <w:rPr>
          <w:rStyle w:val="UserStyle_60"/>
          <w:iCs/>
          <w:sz w:val="22"/>
          <w:szCs w:val="22"/>
        </w:rPr>
        <w:t xml:space="preserve">В связи с реноваций отелей конкурентов, демпингом цен и значительным сокращением бронирований гостиниц, предложение превышает спрос, поэтому отели борются за одного и того же клиента.</w:t>
      </w:r>
    </w:p>
    <w:p>
      <w:pPr>
        <w:pStyle w:val="BodyText"/>
        <w:ind w:right="0" w:left="1224"/>
        <w:jc w:val="both"/>
      </w:pPr>
    </w:p>
    <w:p>
      <w:pPr>
        <w:pStyle w:val="Normal"/>
      </w:pPr>
    </w:p>
    <w:p>
      <w:pPr>
        <w:pStyle w:val="Heading1"/>
        <w:numPr>
          <w:ilvl w:val="0"/>
          <w:numId w:val="25"/>
        </w:numPr>
        <w:ind w:firstLine="0" w:left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Отчет о выплате объявленных (начисленных дивидендов по акциям АО "ИНФА-ОТЕЛЬ"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 прошлых лет/направляется на погашение убытков прошлых лет, однако в среднесрочной перспективе не исключено, что акционеры пересмотрят дивидендную политику.</w:t>
      </w:r>
      <w:r>
        <w:rPr>
          <w:sz w:val="22"/>
          <w:szCs w:val="22"/>
        </w:rPr>
      </w:r>
    </w:p>
    <w:p>
      <w:pPr>
        <w:pStyle w:val="Normal"/>
        <w:ind w:right="0" w:firstLine="1077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По результатам предыдущего финансового года (2024) дивиденды акционерам не выплачивались. </w:t>
      </w:r>
      <w:r>
        <w:rPr>
          <w:b/>
          <w:color w:val="000000"/>
          <w:sz w:val="22"/>
          <w:szCs w:val="22"/>
        </w:rPr>
      </w:r>
    </w:p>
    <w:p>
      <w:pPr>
        <w:pStyle w:val="BodyText"/>
        <w:ind w:right="0" w:firstLine="107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Рекомендации по распределению прибыли (в том числе по выплате (объявлению) дивидендов) и убытков Общества по результатам 2025 финансового года</w:t>
      </w:r>
      <w:r>
        <w:rPr>
          <w:b/>
          <w:color w:val="000000"/>
          <w:sz w:val="22"/>
          <w:szCs w:val="22"/>
        </w:rPr>
      </w:r>
    </w:p>
    <w:p>
      <w:pPr>
        <w:pStyle w:val="BodyText"/>
        <w:ind w:right="0" w:firstLine="1077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Отчет по прибыли и убыткам: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Cs w:val="22"/>
        </w:rPr>
      </w:pPr>
      <w:r>
        <w:rPr>
          <w:sz w:val="22"/>
          <w:szCs w:val="22"/>
        </w:rPr>
        <w:t xml:space="preserve">- Чистая прибыль за 2025 год составила 45 634 тыс. руб. (Сорок пять тысяч шестьсот тридцать четыре) тыс. рублей.</w:t>
      </w:r>
      <w:r>
        <w:rPr>
          <w:szCs w:val="22"/>
        </w:rPr>
      </w:r>
    </w:p>
    <w:p>
      <w:pPr>
        <w:pStyle w:val="UserStyle_82"/>
        <w:spacing w:after="0" w:before="0"/>
        <w:ind w:right="0" w:firstLine="709" w:left="0"/>
        <w:rPr>
          <w:sz w:val="22"/>
          <w:szCs w:val="22"/>
        </w:rPr>
      </w:pPr>
      <w:r>
        <w:rPr>
          <w:szCs w:val="22"/>
        </w:rPr>
        <w:t xml:space="preserve">- Описание основных факторов риска, связанных с деятельностью АО "ИНФА-ОТЕЛЬ"</w:t>
      </w:r>
      <w:r>
        <w:rPr>
          <w:sz w:val="22"/>
          <w:szCs w:val="22"/>
        </w:rPr>
      </w:r>
    </w:p>
    <w:p>
      <w:pPr>
        <w:pStyle w:val="Normal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Одними из основных факторов риска, которые могут повлиять на деятельность общества, являются: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Усугубление экономического кризиса, падение спроса, обострение конкуренции и демпинг цен отелей конкурентов;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Ухудшение внешнеполитической обстановки: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Отсутствие серьезной инвестиционной программы, направленной на реновацию Отеля и развитие его инфраструктуры; 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Длительная интенсивная эксплуатация номерного фонда без перерывов на реконструкцию/капитальный ремонт, моральный и физический износ оборудования, мебели и инвентаря;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Низкобюджетный маркетинг, экономия на коммерческом бюджете, в том числе на программах продвижения и внедрения цифровых технологий.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Активное открытие в течение последних лет и в ближайшем будущем новых современных отелей в непосредственной близости от «Савоя» с просторными номерами и самым современным техническим оснащением. 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Приход мощных международных сетей на рынок столичных гостиничных услуг, диктующих свои правила игры и устанавливающих демпинговые цены на период раскрутки отеля.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Осознавая наличие вышеперечисленных рисков, общество предпринимает все зависящие от него усилия для минимизации потенциального влияния рисков и для снижения вероятности их реализации.</w:t>
      </w:r>
      <w:r>
        <w:rPr>
          <w:sz w:val="22"/>
          <w:szCs w:val="22"/>
        </w:rPr>
      </w:r>
    </w:p>
    <w:p>
      <w:pPr>
        <w:pStyle w:val="Normal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Осознавая наличие вышеперечисленных рисков, общество предпринимает все зависящие от него усилия для минимизации потенциального влияния рисков и для снижения вероятности их реализации.</w:t>
      </w:r>
      <w:r>
        <w:rPr>
          <w:sz w:val="22"/>
          <w:szCs w:val="22"/>
        </w:rPr>
      </w:r>
    </w:p>
    <w:p>
      <w:pPr>
        <w:pStyle w:val="Normal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VI</w:t>
      </w:r>
      <w:r>
        <w:rPr>
          <w:b/>
          <w:sz w:val="22"/>
          <w:szCs w:val="22"/>
        </w:rPr>
        <w:t xml:space="preserve">. Описание основных факторов риска, связанных с деятельностью АО "ИНФА-ОТЕЛЬ"</w:t>
      </w:r>
      <w:r>
        <w:rPr>
          <w:b/>
          <w:sz w:val="22"/>
          <w:szCs w:val="22"/>
        </w:rPr>
      </w:r>
    </w:p>
    <w:p>
      <w:pPr>
        <w:pStyle w:val="Normal"/>
        <w:ind w:right="0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</w:rPr>
      </w:pPr>
      <w:r>
        <w:rPr>
          <w:rStyle w:val="UserStyle_57"/>
          <w:b w:val="0"/>
          <w:bCs/>
          <w:sz w:val="22"/>
          <w:szCs w:val="22"/>
          <w:lang w:val="ru-RU"/>
        </w:rPr>
        <w:t xml:space="preserve">Перечень совершенных АО "ИНФА-ОТЕЛЬ" в отчетном году сделок,</w:t>
      </w:r>
      <w:r>
        <w:rPr>
          <w:sz w:val="22"/>
          <w:szCs w:val="22"/>
          <w:lang w:val="ru-RU"/>
        </w:rPr>
        <w:t xml:space="preserve"> признаваемых в соответствии с Федеральным законом "Об акционерных обществах" крупными сделками, а также иных сделок, на совершение которых в соответствии с уставом АО "ИНФА-ОТЕЛЬ"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АО «ИНФА-ОТЕЛЬ» в течение отчетного 2025 года крупных сделок не совершало.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</w:rPr>
      </w:pPr>
      <w:r>
        <w:rPr>
          <w:rStyle w:val="UserStyle_57"/>
          <w:b w:val="0"/>
          <w:bCs/>
          <w:sz w:val="22"/>
          <w:szCs w:val="22"/>
          <w:lang w:val="ru-RU"/>
        </w:rPr>
        <w:t xml:space="preserve">Перечень совершенных АО "ИНФА-ОТЕЛЬ" в отчетном году сделок,</w:t>
      </w:r>
      <w:r>
        <w:rPr>
          <w:sz w:val="22"/>
          <w:szCs w:val="22"/>
          <w:lang w:val="ru-RU"/>
        </w:rPr>
        <w:t xml:space="preserve"> признаваемых в соответствии с Федеральным законом "Об акционерных обществах" сделками, в совершении которых имелась заинтересованность, с указанием по каждой сделке заинтересованного лица (лиц), существенных условий и органа управления акционерного общества, принявшего решение о ее одобрении.</w:t>
      </w:r>
      <w:r>
        <w:rPr>
          <w:sz w:val="22"/>
          <w:szCs w:val="22"/>
        </w:rPr>
      </w:r>
    </w:p>
    <w:p>
      <w:pPr>
        <w:pStyle w:val="Normal"/>
        <w:ind w:right="0"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АО «ИНФА-ОТЕЛЬ» в течение отчетного 2025 года сделок, в совершении которых имеется заинтересованность, не совершало.</w:t>
      </w:r>
      <w:r>
        <w:rPr>
          <w:sz w:val="22"/>
          <w:szCs w:val="22"/>
        </w:rPr>
      </w:r>
    </w:p>
    <w:p>
      <w:pPr>
        <w:pStyle w:val="Normal"/>
        <w:ind w:right="0" w:left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Состав совета директоров АО "ИНФА-ОТЕЛЬ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05.06.2025 г. на годовом Общем собрании акционеров АО "ИНФА-ОТЕЛЬ" было принято решение об избрании Совета директоров АО "ИНФА-ОТЕЛЬ" в количестве 5 (Пять) человек в </w:t>
      </w:r>
      <w:r>
        <w:t xml:space="preserve">следующем составе:</w:t>
      </w:r>
      <w:r>
        <w:rPr>
          <w:b/>
          <w:sz w:val="20"/>
          <w:szCs w:val="20"/>
        </w:rPr>
      </w:r>
    </w:p>
    <w:tbl>
      <w:tblPr>
        <w:tblInd w:w="-142" w:type="dxa"/>
        <w:tblW w:w="5000" w:type="pct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2174"/>
        <w:gridCol w:w="1156"/>
        <w:gridCol w:w="1449"/>
        <w:gridCol w:w="1310"/>
        <w:gridCol w:w="1343"/>
        <w:gridCol w:w="2914"/>
      </w:tblGrid>
      <w:tr>
        <w:trPr>
          <w:cantSplit/>
          <w:trHeight w:val="96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ФИО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 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рождения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Образование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Доля участия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в уставном капитале Общества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Доля принадле-жащих обыкновенных акций Общества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200" w:before="0" w:line="276" w:lineRule="auto"/>
              <w:jc w:val="center"/>
            </w:pPr>
            <w:r>
              <w:rPr>
                <w:b/>
                <w:sz w:val="20"/>
                <w:szCs w:val="20"/>
              </w:rPr>
              <w:t xml:space="preserve">Основное  место работы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Гущин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  <w:jc w:val="both"/>
            </w:pPr>
            <w:r>
              <w:rPr>
                <w:sz w:val="20"/>
                <w:szCs w:val="20"/>
              </w:rPr>
              <w:t xml:space="preserve">Юрий Николаевич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Вице-президент ООО «Холдинговая компания «ГУТА»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Алексей Юрьевич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Вице-президент, директор департамента ООО «Холдинговая компания «ГУТА»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Харин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Алексей Анатольевич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Президент ООО «Холдинговая компания  «ГУТА» 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Александр Юрьевич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Старший вице-президент ООО «Холдинговая компания «ГУТА»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Хлебников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Юрий Юрьевич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Заместитель первого вице-президента ООО «Холдинговая компания «ГУТА»</w:t>
            </w:r>
          </w:p>
        </w:tc>
      </w:tr>
    </w:tbl>
    <w:p>
      <w:pPr>
        <w:pStyle w:val="Normal"/>
        <w:ind w:right="0" w:firstLine="709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С 05.06.2025 г.  прекращены полномочия следующего члена Совета директоров Общества</w:t>
      </w:r>
      <w:r>
        <w:t xml:space="preserve">:</w:t>
      </w:r>
      <w:r>
        <w:rPr>
          <w:sz w:val="20"/>
          <w:szCs w:val="20"/>
        </w:rPr>
      </w:r>
    </w:p>
    <w:tbl>
      <w:tblPr>
        <w:tblInd w:w="-142" w:type="dxa"/>
        <w:tblW w:w="5000" w:type="pct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2174"/>
        <w:gridCol w:w="1156"/>
        <w:gridCol w:w="1449"/>
        <w:gridCol w:w="1310"/>
        <w:gridCol w:w="1343"/>
        <w:gridCol w:w="2914"/>
      </w:tblGrid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Славов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Валерий Анатольевич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Заместитель председателя правления по финансам ООО «Холдинговая компания ГУТА»</w:t>
            </w:r>
          </w:p>
        </w:tc>
      </w:tr>
    </w:tbl>
    <w:p>
      <w:pPr>
        <w:pStyle w:val="Normal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отчетного года члены Совета директоров не совершали сделки по приобретению или отчуждению акций Общества. </w:t>
      </w: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Сведения о Генеральном директоре АО «ИНФА-ОТЕЛЬ»</w:t>
      </w:r>
      <w:r>
        <w:rPr>
          <w:sz w:val="22"/>
          <w:szCs w:val="22"/>
          <w:lang w:val="ru-RU"/>
        </w:rPr>
      </w:r>
    </w:p>
    <w:p>
      <w:pPr>
        <w:pStyle w:val="Normal"/>
        <w:ind w:right="0"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Уставом АО «ИНФА-ОТЕЛЬ», полномочия единоличного исполнительного органа осуществляет Генеральный директор, который назначается на должность решением Совета директоров Общества. Образование в Обществе коллегиального исполнительного органа Уставом АО «ИНФА-ОТЕЛЬ» не предусмотрено. 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01.04.2023 г. решением Совета директоров АО «ИНФА-ОТЕЛЬ» на должность Генерального директора АО «ИНФА-ОТЕЛЬ» был назначен Ананьев Максим Алексеевич.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Год рождения: 1984. 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Образование: высшее.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Ранее занимаемая должность в Обществе: 1-й заместитель Генерального директора АО «ИНФА-ОТЕЛЬ».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Основное место работы: Генеральный директор АО «ИНФА-ОТЕЛЬ».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Доля участия в уставном капитале Общества- 0%.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Доля принадлежащих обыкновенных акций Общества - 0%. 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отчетного года Ананьев Максим Алексеевич не совершал сделки по приобретению или отчуждению акций Общества.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Критерии определения и размер вознаграждения (компенсации расходов) Генерального директора, и каждого члена совета директоров АО "ИНФА-ОТЕЛЬ" или общий размер вознаграждения (компенсации расходов) всех этих лиц, выплаченного или выплачиваемого по результатам отчетного года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настоящее время Общество не практикует выплату вознаграждений членам Совета директоров, хотя в дальнейшем такие выплаты не исключаются.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Единственными членами органов управления общества, которые в течение 2025 года получали вознаграждения за выполнение управленческих функций, являются: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Генеральный директор АО «ИНФА-ОТЕЛЬ».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Вознаграждение единоличного исполнительного органа (Генерального директора) определяется как фиксированная сумма (ежемесячный оклад) в соответствии с действующим трудовым договором. 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в настоящем разделе годового отчета приведена с учетом требований соблюдения законодательства о персональных данных. 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Сведения о соблюдении АО "ИНФА-ОТЕЛЬ" Кодекса корпоративного управления.</w:t>
      </w: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Обществом официально не утвержден Кодекс корпоративного управления или иной аналогичный документ, однако Общество обеспечивает акционерам все возможности по участию в управлении Обществом и ознакомлению с информацией о деятельности Общества в соответствии с Федеральным законом "Об акционерных обществах", Федеральным законом "О рынке ценных бумаг" и нормативными правовыми актами федерального органа исполнительной власти по рынку ценных бумаг.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Общества обеспечены надежными и эффективными способами учета прав собственности на акции.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имеют право участвовать в управлении Обществом путем принятия решений по наиболее важным вопросам деятельности Общества на общем собрании акционеров.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имеют право на регулярное и своевременное получение полной и достоверной информации об Обществе.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не злоупотребляют предоставленными им правами.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Сложившаяся практика в Обществе обеспечивает равное отношение ко всем акционерам. Все акционеры имеют возможность получать эффективную защиту в случае нарушения их прав.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Генеральный директор Общества действует в соответствии с Уставом, в строгом соответствии с действующим законодательством РФ, в том числе и в соответствии с Федеральным законом № 208-ФЗ «Об акционерных обществах».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Обществе осуществляется контроль за использованием конфиденциальной информацией.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Информационная политика Общества обеспечивает возможность доступа акционеров к информации об Обществе.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имеют возможность получать полную достоверную информацию, в том числе о финансовом положении Общества, результатах его деятельности, об управлении Обществом.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Органы управления Общества содействуют заинтересованности работников Общества в эффективной работе Общества.   </w:t>
      </w: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Сведения об утверждении годового отчета общим собранием акционеров Общества, а также иная информация, предусмотренная Уставом или внутренним документом Общества.</w:t>
      </w: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Годовой отчет Общества за 2025 год предварительно утвержден 30.04.2026 г. Советом директоров Общества (Протокол б/н от 30.04.2026 г.), утвержден «05» июня 2026 г. Годовым заседанием общего собрания акционеров Общества (Протокол б/н от __.06.2026 г.).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t xml:space="preserve">Иная информация, подлежащая включению в годовой отчет о деятельности Общества, Уставом Общества и иными внутренними документами Общества не предусмотрена.</w:t>
      </w:r>
      <w:r>
        <w:rPr>
          <w:rFonts w:ascii="Tahoma" w:hAnsi="Tahoma" w:cs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keepNext w:val="true"/>
        <w:numPr>
          <w:ilvl w:val="0"/>
          <w:numId w:val="0"/>
        </w:numPr>
        <w:spacing w:after="120" w:before="120"/>
        <w:ind w:right="0" w:left="788"/>
        <w:outlineLvl w:val="1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</w:r>
    </w:p>
    <w:p>
      <w:pPr>
        <w:pStyle w:val="Normal"/>
        <w:keepNext w:val="true"/>
        <w:numPr>
          <w:ilvl w:val="0"/>
          <w:numId w:val="0"/>
        </w:numPr>
        <w:spacing w:after="120" w:before="120"/>
        <w:ind w:right="0" w:left="788"/>
        <w:outlineLvl w:val="1"/>
      </w:pPr>
    </w:p>
    <w:p>
      <w:pPr>
        <w:pStyle w:val="Normal"/>
        <w:keepNext w:val="true"/>
        <w:numPr>
          <w:ilvl w:val="0"/>
          <w:numId w:val="0"/>
        </w:numPr>
        <w:spacing w:after="120" w:before="120"/>
        <w:ind w:right="0" w:left="788"/>
        <w:outlineLvl w:val="1"/>
      </w:pPr>
    </w:p>
    <w:p>
      <w:pPr>
        <w:pStyle w:val="Normal"/>
        <w:keepNext w:val="true"/>
        <w:numPr>
          <w:ilvl w:val="0"/>
          <w:numId w:val="0"/>
        </w:numPr>
        <w:spacing w:after="120" w:before="120"/>
        <w:ind w:right="0" w:left="788"/>
        <w:outlineLvl w:val="1"/>
      </w:pPr>
    </w:p>
    <w:sectPr>
      <w:footerReference w:type="default" r:id="rId8"/>
      <w:foot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h="16838" w:w="11906"/>
      <w:pgMar w:top="680" w:right="851" w:bottom="765" w:left="709" w:footer="709"/>
      <w:pgNumType w:fmt="none"/>
      <w:bidi w:val="false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MS Mincho">
    <w:panose1 w:val="02020603050405090304"/>
  </w:font>
  <w:font w:name="Tahoma">
    <w:panose1 w:val="020B0604030504040204"/>
  </w:font>
  <w:font w:name="Verdana">
    <w:panose1 w:val="020B0604030504040204"/>
  </w:font>
  <w:font w:name="Droid Sans">
    <w:panose1 w:val="020B0606030804020204"/>
  </w:font>
  <w:font w:name="Georgia">
    <w:panose1 w:val="02040502050405020303"/>
  </w:font>
  <w:font w:name="Arial">
    <w:panose1 w:val="020B0604020202020204"/>
  </w:font>
  <w:font w:name="Arial Unicode MS">
    <w:panose1 w:val="020B060402020202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mbria">
    <w:panose1 w:val="02040503050406030204"/>
  </w:font>
  <w:font w:name="Arial CYR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14300" cy="13081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6904990" y="635"/>
                        <a:ext cx="1143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t xml:space="preserve">18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page;mso-position-horizontal:right;mso-position-vertical-relative:text;margin-top:0.05pt;mso-position-vertical:absolute;width:9.00pt;height:10.30pt;mso-wrap-distance-left:0.00pt;mso-wrap-distance-top:0.00pt;mso-wrap-distance-right:0.00pt;mso-wrap-distance-bottom:0.00pt;visibility:visible;" fillcolor="#FFFFFF" stroked="f">
              <v:fill opacity="0f"/>
              <w10:wrap type="square"/>
              <v:textbox inset="0,0,0,0">
                <w:txbxContent>
                  <w:p>
                    <w:pPr>
                      <w:pStyle w:val="Footer"/>
                    </w:pP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t xml:space="preserve">18</w: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000001"/>
    <w:lvl w:ilvl="0">
      <w:lvlJc w:val="right"/>
      <w:lvlText w:val="%1."/>
      <w:numFmt w:val="upperRoman"/>
      <w:pPr>
        <w:tabs>
          <w:tab w:val="num" w:leader="none" w:pos="0"/>
        </w:tabs>
        <w:ind w:hanging="432" w:left="432"/>
      </w:pPr>
      <w:start w:val="1"/>
      <w:suff w:val="tab"/>
    </w:lvl>
    <w:lvl w:ilvl="1">
      <w:lvlJc w:val="left"/>
      <w:lvlText w:val="%1.%2"/>
      <w:numFmt w:val="decimal"/>
      <w:pPr>
        <w:tabs>
          <w:tab w:val="num" w:leader="none" w:pos="0"/>
        </w:tabs>
        <w:ind w:hanging="576" w:left="2418"/>
      </w:pPr>
      <w:start w:val="2"/>
      <w:suff w:val="tab"/>
    </w:lvl>
    <w:lvl w:ilvl="2">
      <w:lvlJc w:val="left"/>
      <w:lvlText w:val="%1.%2.%3"/>
      <w:numFmt w:val="decimal"/>
      <w:pPr>
        <w:tabs>
          <w:tab w:val="num" w:leader="none" w:pos="0"/>
        </w:tabs>
        <w:ind w:hanging="720" w:left="1004"/>
      </w:pPr>
      <w:start w:val="1"/>
      <w:suff w:val="tab"/>
    </w:lvl>
    <w:lvl w:ilvl="3">
      <w:lvlJc w:val="left"/>
      <w:lvlText w:val="%1.%2.%3.%4"/>
      <w:numFmt w:val="decimal"/>
      <w:pPr>
        <w:tabs>
          <w:tab w:val="num" w:leader="none" w:pos="0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tabs>
          <w:tab w:val="num" w:leader="none" w:pos="0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tabs>
          <w:tab w:val="num" w:leader="none" w:pos="0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tabs>
          <w:tab w:val="num" w:leader="none" w:pos="0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tabs>
          <w:tab w:val="num" w:leader="none" w:pos="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tabs>
          <w:tab w:val="num" w:leader="none" w:pos="0"/>
        </w:tabs>
        <w:ind w:hanging="1584" w:left="1584"/>
      </w:pPr>
      <w:start w:val="1"/>
      <w:suff w:val="tab"/>
    </w:lvl>
  </w:abstractNum>
  <w:abstractNum w:abstractNumId="1">
    <w:multiLevelType w:val="singleLevel"/>
    <w:nsid w:val="00000002"/>
    <w:lvl w:ilvl="0">
      <w:lvlJc w:val="left"/>
      <w:lvlText w:val=""/>
      <w:numFmt w:val="bullet"/>
      <w:pPr>
        <w:tabs>
          <w:tab w:val="num" w:leader="none" w:pos="0"/>
        </w:tabs>
        <w:ind w:hanging="360" w:left="720"/>
      </w:pPr>
      <w:rPr>
        <w:rFonts w:ascii="Wingdings" w:hAnsi="Wingdings" w:cs="Wingdings"/>
      </w:rPr>
      <w:start w:val="1"/>
      <w:suff w:val="tab"/>
    </w:lvl>
  </w:abstractNum>
  <w:abstractNum w:abstractNumId="2">
    <w:multiLevelType w:val="singleLevel"/>
    <w:nsid w:val="00000003"/>
    <w:lvl w:ilvl="0">
      <w:lvlJc w:val="left"/>
      <w:lvlText w:val="o"/>
      <w:numFmt w:val="bullet"/>
      <w:pPr>
        <w:tabs>
          <w:tab w:val="num" w:leader="none" w:pos="0"/>
        </w:tabs>
        <w:ind w:hanging="360" w:left="720"/>
      </w:pPr>
      <w:rPr>
        <w:rFonts w:ascii="Courier New" w:hAnsi="Courier New" w:cs="Courier New"/>
      </w:rPr>
      <w:start w:val="1"/>
      <w:suff w:val="tab"/>
    </w:lvl>
  </w:abstractNum>
  <w:abstractNum w:abstractNumId="3">
    <w:multiLevelType w:val="singleLevel"/>
    <w:nsid w:val="00000004"/>
    <w:lvl w:ilvl="0">
      <w:lvlJc w:val="left"/>
      <w:lvlText w:val=""/>
      <w:numFmt w:val="bullet"/>
      <w:pPr>
        <w:tabs>
          <w:tab w:val="num" w:leader="none" w:pos="0"/>
        </w:tabs>
        <w:ind w:hanging="360" w:left="2160"/>
      </w:pPr>
      <w:rPr>
        <w:rFonts w:ascii="Wingdings" w:hAnsi="Wingdings" w:cs="Wingdings"/>
      </w:rPr>
      <w:start w:val="1"/>
      <w:suff w:val="tab"/>
    </w:lvl>
  </w:abstractNum>
  <w:abstractNum w:abstractNumId="4">
    <w:multiLevelType w:val="multilevel"/>
    <w:nsid w:val="00000005"/>
    <w:lvl w:ilvl="0">
      <w:lvlJc w:val="left"/>
      <w:lvlText w:val="%1."/>
      <w:numFmt w:val="upperRoman"/>
      <w:pPr>
        <w:tabs>
          <w:tab w:val="num" w:leader="none" w:pos="0"/>
        </w:tabs>
        <w:ind w:hanging="360" w:left="360"/>
      </w:pPr>
      <w:start w:val="1"/>
      <w:suff w:val="tab"/>
    </w:lvl>
    <w:lvl w:ilvl="1">
      <w:lvlJc w:val="left"/>
      <w:lvlText w:val="%1.%2."/>
      <w:numFmt w:val="decimal"/>
      <w:pPr>
        <w:tabs>
          <w:tab w:val="num" w:leader="none" w:pos="5168"/>
        </w:tabs>
        <w:ind w:hanging="432" w:left="5960"/>
      </w:pPr>
      <w:start w:val="1"/>
      <w:suff w:val="tab"/>
    </w:lvl>
    <w:lvl w:ilvl="2">
      <w:lvlJc w:val="left"/>
      <w:lvlText w:val="%1.%2.%3."/>
      <w:numFmt w:val="decimal"/>
      <w:pPr>
        <w:tabs>
          <w:tab w:val="num" w:leader="none" w:pos="0"/>
        </w:tabs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5">
    <w:multiLevelType w:val="singleLevel"/>
    <w:nsid w:val="00000006"/>
    <w:lvl w:ilvl="0">
      <w:lvlJc w:val="left"/>
      <w:lvlText w:val="o"/>
      <w:numFmt w:val="bullet"/>
      <w:pPr>
        <w:tabs>
          <w:tab w:val="num" w:leader="none" w:pos="0"/>
        </w:tabs>
        <w:ind w:hanging="360" w:left="720"/>
      </w:pPr>
      <w:rPr>
        <w:rFonts w:ascii="Courier New" w:hAnsi="Courier New" w:cs="Courier New"/>
      </w:rPr>
      <w:start w:val="1"/>
      <w:suff w:val="tab"/>
    </w:lvl>
  </w:abstractNum>
  <w:abstractNum w:abstractNumId="6">
    <w:multiLevelType w:val="multilevel"/>
    <w:nsid w:val="00000007"/>
    <w:lvl w:ilvl="0">
      <w:lvlJc w:val="right"/>
      <w:lvlText w:val="%1."/>
      <w:numFmt w:val="upperRoman"/>
      <w:pPr>
        <w:tabs>
          <w:tab w:val="num" w:leader="none" w:pos="708"/>
        </w:tabs>
        <w:ind w:hanging="360" w:left="360"/>
      </w:pPr>
      <w:start w:val="2"/>
      <w:suff w:val="tab"/>
    </w:lvl>
    <w:lvl w:ilvl="1">
      <w:lvlJc w:val="left"/>
      <w:lvlText w:val="%1.%2."/>
      <w:numFmt w:val="decimal"/>
      <w:pPr>
        <w:tabs>
          <w:tab w:val="num" w:leader="none" w:pos="0"/>
        </w:tabs>
        <w:ind w:hanging="432" w:left="792"/>
      </w:pPr>
      <w:start w:val="1"/>
      <w:suff w:val="tab"/>
    </w:lvl>
    <w:lvl w:ilvl="2">
      <w:lvlJc w:val="left"/>
      <w:lvlText w:val="%1.%2.%3."/>
      <w:numFmt w:val="decimal"/>
      <w:pPr>
        <w:tabs>
          <w:tab w:val="num" w:leader="none" w:pos="0"/>
        </w:tabs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7">
    <w:multiLevelType w:val="singleLevel"/>
    <w:nsid w:val="00000008"/>
    <w:lvl w:ilvl="0">
      <w:lvlJc w:val="left"/>
      <w:lvlText w:val=""/>
      <w:numFmt w:val="bullet"/>
      <w:pPr>
        <w:tabs>
          <w:tab w:val="num" w:leader="none" w:pos="708"/>
        </w:tabs>
        <w:ind w:hanging="360" w:left="1860"/>
      </w:pPr>
      <w:rPr>
        <w:rFonts w:ascii="Symbol" w:hAnsi="Symbol" w:cs="Symbol"/>
        <w:color w:val="000000"/>
      </w:rPr>
      <w:start w:val="1"/>
      <w:suff w:val="tab"/>
    </w:lvl>
  </w:abstractNum>
  <w:abstractNum w:abstractNumId="8">
    <w:multiLevelType w:val="singleLevel"/>
    <w:nsid w:val="00000009"/>
    <w:lvl w:ilvl="0">
      <w:lvlJc w:val="left"/>
      <w:lvlText w:val="o"/>
      <w:numFmt w:val="bullet"/>
      <w:pPr>
        <w:tabs>
          <w:tab w:val="num" w:leader="none" w:pos="0"/>
        </w:tabs>
        <w:ind w:hanging="360" w:left="720"/>
      </w:pPr>
      <w:rPr>
        <w:rFonts w:ascii="Courier New" w:hAnsi="Courier New" w:cs="Courier New"/>
      </w:rPr>
      <w:start w:val="1"/>
      <w:suff w:val="tab"/>
    </w:lvl>
  </w:abstractNum>
  <w:abstractNum w:abstractNumId="9">
    <w:multiLevelType w:val="multilevel"/>
    <w:nsid w:val="0000000A"/>
    <w:lvl w:ilvl="0"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ascii="Symbol" w:hAnsi="Symbol" w:cs="Symbol"/>
        <w:sz w:val="20"/>
      </w:rPr>
      <w:start w:val="1"/>
      <w:suff w:val="tab"/>
    </w:lvl>
    <w:lvl w:ilvl="1"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ascii="Courier New" w:hAnsi="Courier New" w:cs="Courier New"/>
        <w:sz w:val="20"/>
      </w:rPr>
      <w:start w:val="1"/>
      <w:suff w:val="tab"/>
    </w:lvl>
    <w:lvl w:ilvl="2">
      <w:lvlJc w:val="left"/>
      <w:lvlText w:val="%3"/>
      <w:numFmt w:val="decimal"/>
      <w:pPr>
        <w:tabs>
          <w:tab w:val="num" w:leader="none" w:pos="0"/>
        </w:tabs>
        <w:ind w:hanging="360" w:left="2160"/>
      </w:pPr>
      <w:start w:val="334"/>
      <w:suff w:val="tab"/>
    </w:lvl>
    <w:lvl w:ilvl="3"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ascii="Wingdings" w:hAnsi="Wingdings" w:cs="Wingdings"/>
        <w:sz w:val="20"/>
      </w:rPr>
      <w:start w:val="1"/>
      <w:suff w:val="tab"/>
    </w:lvl>
    <w:lvl w:ilvl="4"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ascii="Wingdings" w:hAnsi="Wingdings" w:cs="Wingdings"/>
        <w:sz w:val="20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ascii="Wingdings" w:hAnsi="Wingdings" w:cs="Wingdings"/>
        <w:sz w:val="20"/>
      </w:rPr>
      <w:start w:val="1"/>
      <w:suff w:val="tab"/>
    </w:lvl>
    <w:lvl w:ilvl="6"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ascii="Wingdings" w:hAnsi="Wingdings" w:cs="Wingdings"/>
        <w:sz w:val="20"/>
      </w:rPr>
      <w:start w:val="1"/>
      <w:suff w:val="tab"/>
    </w:lvl>
    <w:lvl w:ilvl="7"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ascii="Wingdings" w:hAnsi="Wingdings" w:cs="Wingdings"/>
        <w:sz w:val="20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ascii="Wingdings" w:hAnsi="Wingdings" w:cs="Wingdings"/>
        <w:sz w:val="20"/>
      </w:rPr>
      <w:start w:val="1"/>
      <w:suff w:val="tab"/>
    </w:lvl>
  </w:abstractNum>
  <w:abstractNum w:abstractNumId="10">
    <w:multiLevelType w:val="multilevel"/>
    <w:nsid w:val="0000000B"/>
    <w:lvl w:ilvl="0">
      <w:lvlJc w:val="left"/>
      <w:lvlText w:val="%1."/>
      <w:numFmt w:val="upperRoman"/>
      <w:pPr>
        <w:tabs>
          <w:tab w:val="num" w:leader="none" w:pos="0"/>
        </w:tabs>
        <w:ind w:hanging="360" w:left="360"/>
      </w:pPr>
      <w:start w:val="4"/>
      <w:suff w:val="tab"/>
    </w:lvl>
    <w:lvl w:ilvl="1">
      <w:lvlJc w:val="left"/>
      <w:lvlText w:val="%1.%2."/>
      <w:numFmt w:val="decimal"/>
      <w:pPr>
        <w:tabs>
          <w:tab w:val="num" w:leader="none" w:pos="0"/>
        </w:tabs>
        <w:ind w:hanging="432" w:left="792"/>
      </w:pPr>
      <w:start w:val="3"/>
      <w:suff w:val="tab"/>
    </w:lvl>
    <w:lvl w:ilvl="2">
      <w:lvlJc w:val="left"/>
      <w:lvlText w:val=""/>
      <w:numFmt w:val="bullet"/>
      <w:pPr>
        <w:tabs>
          <w:tab w:val="num" w:leader="none" w:pos="0"/>
        </w:tabs>
        <w:ind w:hanging="504" w:left="1224"/>
      </w:pPr>
      <w:rPr>
        <w:rFonts w:ascii="Symbol" w:hAnsi="Symbol" w:cs="Symbol"/>
      </w:r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11">
    <w:multiLevelType w:val="singleLevel"/>
    <w:nsid w:val="0000000C"/>
    <w:lvl w:ilvl="0">
      <w:lvlJc w:val="left"/>
      <w:lvlText w:val=""/>
      <w:numFmt w:val="bullet"/>
      <w:pPr>
        <w:tabs>
          <w:tab w:val="num" w:leader="none" w:pos="0"/>
        </w:tabs>
        <w:ind w:hanging="360" w:left="720"/>
      </w:pPr>
      <w:rPr>
        <w:rFonts w:ascii="Wingdings" w:hAnsi="Wingdings" w:cs="Wingdings"/>
      </w:rPr>
      <w:start w:val="1"/>
      <w:suff w:val="tab"/>
    </w:lvl>
  </w:abstractNum>
  <w:abstractNum w:abstractNumId="12">
    <w:multiLevelType w:val="singleLevel"/>
    <w:nsid w:val="0000000D"/>
    <w:lvl w:ilvl="0">
      <w:lvlJc w:val="left"/>
      <w:lvlText w:val=""/>
      <w:numFmt w:val="bullet"/>
      <w:pPr>
        <w:tabs>
          <w:tab w:val="num" w:leader="none" w:pos="0"/>
        </w:tabs>
        <w:ind w:hanging="360" w:left="720"/>
      </w:pPr>
      <w:rPr>
        <w:rFonts w:ascii="Symbol" w:hAnsi="Symbol" w:cs="Symbol"/>
      </w:rPr>
      <w:start w:val="1"/>
      <w:suff w:val="tab"/>
    </w:lvl>
  </w:abstractNum>
  <w:abstractNum w:abstractNumId="13">
    <w:multiLevelType w:val="singleLevel"/>
    <w:nsid w:val="0000000E"/>
    <w:lvl w:ilvl="0">
      <w:lvlJc w:val="left"/>
      <w:lvlText w:val="%1."/>
      <w:numFmt w:val="decimal"/>
      <w:pPr>
        <w:tabs>
          <w:tab w:val="num" w:leader="none" w:pos="0"/>
        </w:tabs>
        <w:ind w:hanging="360" w:left="720"/>
      </w:pPr>
      <w:start w:val="1"/>
      <w:suff w:val="tab"/>
    </w:lvl>
  </w:abstractNum>
  <w:abstractNum w:abstractNumId="14">
    <w:multiLevelType w:val="multilevel"/>
    <w:nsid w:val="0000000F"/>
    <w:lvl w:ilvl="0">
      <w:lvlJc w:val="left"/>
      <w:lvlText w:val="%1."/>
      <w:numFmt w:val="upperRoman"/>
      <w:pPr>
        <w:tabs>
          <w:tab w:val="num" w:leader="none" w:pos="0"/>
        </w:tabs>
        <w:ind w:hanging="360" w:left="360"/>
      </w:pPr>
      <w:start w:val="7"/>
      <w:suff w:val="tab"/>
    </w:lvl>
    <w:lvl w:ilvl="1">
      <w:lvlJc w:val="left"/>
      <w:lvlText w:val="%1.%2."/>
      <w:numFmt w:val="decimal"/>
      <w:pPr>
        <w:tabs>
          <w:tab w:val="num" w:leader="none" w:pos="0"/>
        </w:tabs>
        <w:ind w:hanging="432" w:left="792"/>
      </w:pPr>
      <w:start w:val="1"/>
      <w:suff w:val="tab"/>
    </w:lvl>
    <w:lvl w:ilvl="2">
      <w:lvlJc w:val="left"/>
      <w:lvlText w:val=""/>
      <w:numFmt w:val="bullet"/>
      <w:pPr>
        <w:tabs>
          <w:tab w:val="num" w:leader="none" w:pos="1080"/>
        </w:tabs>
        <w:ind w:hanging="360" w:left="1080"/>
      </w:pPr>
      <w:rPr>
        <w:rFonts w:ascii="Symbol" w:hAnsi="Symbol" w:cs="Symbol"/>
        <w:color w:val="000000"/>
      </w:r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15">
    <w:multiLevelType w:val="singleLevel"/>
    <w:nsid w:val="00000010"/>
    <w:lvl w:ilvl="0">
      <w:lvlJc w:val="left"/>
      <w:lvlText w:val=""/>
      <w:numFmt w:val="bullet"/>
      <w:pPr>
        <w:tabs>
          <w:tab w:val="num" w:leader="none" w:pos="0"/>
        </w:tabs>
        <w:ind w:hanging="360" w:left="720"/>
      </w:pPr>
      <w:rPr>
        <w:rFonts w:ascii="Symbol" w:hAnsi="Symbol" w:cs="Symbol"/>
      </w:rPr>
      <w:start w:val="1"/>
      <w:suff w:val="tab"/>
    </w:lvl>
  </w:abstractNum>
  <w:abstractNum w:abstractNumId="16">
    <w:multiLevelType w:val="singleLevel"/>
    <w:nsid w:val="00000011"/>
    <w:lvl w:ilvl="0">
      <w:lvlJc w:val="left"/>
      <w:lvlText w:val="o"/>
      <w:numFmt w:val="bullet"/>
      <w:pPr>
        <w:tabs>
          <w:tab w:val="num" w:leader="none" w:pos="0"/>
        </w:tabs>
        <w:ind w:hanging="360" w:left="720"/>
      </w:pPr>
      <w:rPr>
        <w:rFonts w:ascii="Courier New" w:hAnsi="Courier New" w:cs="Courier New"/>
      </w:rPr>
      <w:start w:val="1"/>
      <w:suff w:val="tab"/>
    </w:lvl>
  </w:abstractNum>
  <w:abstractNum w:abstractNumId="17">
    <w:multiLevelType w:val="multilevel"/>
    <w:nsid w:val="00000012"/>
    <w:lvl w:ilvl="0">
      <w:lvlJc w:val="left"/>
      <w:lvlText w:val="%1."/>
      <w:numFmt w:val="upperRoman"/>
      <w:pPr>
        <w:tabs>
          <w:tab w:val="num" w:leader="none" w:pos="0"/>
        </w:tabs>
        <w:ind w:hanging="360" w:left="360"/>
      </w:pPr>
      <w:start w:val="4"/>
      <w:suff w:val="tab"/>
    </w:lvl>
    <w:lvl w:ilvl="1">
      <w:lvlJc w:val="left"/>
      <w:lvlText w:val="%1.%2."/>
      <w:numFmt w:val="decimal"/>
      <w:pPr>
        <w:tabs>
          <w:tab w:val="num" w:leader="none" w:pos="0"/>
        </w:tabs>
        <w:ind w:hanging="432" w:left="792"/>
      </w:pPr>
      <w:start w:val="4"/>
      <w:suff w:val="tab"/>
    </w:lvl>
    <w:lvl w:ilvl="2">
      <w:lvlJc w:val="left"/>
      <w:lvlText w:val="%1.%2.%3."/>
      <w:numFmt w:val="decimal"/>
      <w:pPr>
        <w:tabs>
          <w:tab w:val="num" w:leader="none" w:pos="0"/>
        </w:tabs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18">
    <w:multiLevelType w:val="singleLevel"/>
    <w:nsid w:val="00000013"/>
    <w:lvl w:ilvl="0">
      <w:lvlJc w:val="left"/>
      <w:lvlText w:val="-"/>
      <w:numFmt w:val="bullet"/>
      <w:pPr>
        <w:tabs>
          <w:tab w:val="num" w:leader="none" w:pos="1080"/>
        </w:tabs>
        <w:ind w:hanging="360" w:left="1080"/>
      </w:pPr>
      <w:rPr>
        <w:rFonts w:ascii="Liberation Serif" w:hAnsi="Liberation Serif"/>
      </w:rPr>
      <w:start w:val="1"/>
      <w:suff w:val="tab"/>
    </w:lvl>
  </w:abstractNum>
  <w:abstractNum w:abstractNumId="19">
    <w:multiLevelType w:val="singleLevel"/>
    <w:nsid w:val="00000014"/>
    <w:lvl w:ilvl="0">
      <w:lvlJc w:val="left"/>
      <w:lvlText w:val=""/>
      <w:numFmt w:val="bullet"/>
      <w:pPr>
        <w:tabs>
          <w:tab w:val="num" w:leader="none" w:pos="0"/>
        </w:tabs>
        <w:ind w:hanging="360" w:left="1440"/>
      </w:pPr>
      <w:rPr>
        <w:rFonts w:ascii="Symbol" w:hAnsi="Symbol" w:cs="Symbol"/>
      </w:rPr>
      <w:start w:val="1"/>
      <w:suff w:val="tab"/>
    </w:lvl>
  </w:abstractNum>
  <w:abstractNum w:abstractNumId="20">
    <w:multiLevelType w:val="singleLevel"/>
    <w:nsid w:val="00000015"/>
    <w:lvl w:ilvl="0">
      <w:lvlJc w:val="left"/>
      <w:lvlText w:val=""/>
      <w:numFmt w:val="bullet"/>
      <w:pPr>
        <w:tabs>
          <w:tab w:val="num" w:leader="none" w:pos="0"/>
        </w:tabs>
        <w:ind w:hanging="360" w:left="1068"/>
      </w:pPr>
      <w:rPr>
        <w:rFonts w:ascii="Symbol" w:hAnsi="Symbol" w:cs="Symbol"/>
      </w:rPr>
      <w:start w:val="1"/>
      <w:suff w:val="tab"/>
    </w:lvl>
  </w:abstractNum>
  <w:abstractNum w:abstractNumId="21">
    <w:multiLevelType w:val="singleLevel"/>
    <w:nsid w:val="00000016"/>
    <w:lvl w:ilvl="0">
      <w:lvlJc w:val="left"/>
      <w:lvlText w:val=""/>
      <w:numFmt w:val="bullet"/>
      <w:pPr>
        <w:tabs>
          <w:tab w:val="num" w:leader="none" w:pos="0"/>
        </w:tabs>
        <w:ind w:hanging="360" w:left="720"/>
      </w:pPr>
      <w:rPr>
        <w:rFonts w:ascii="Symbol" w:hAnsi="Symbol" w:cs="Symbol"/>
      </w:rPr>
      <w:start w:val="1"/>
      <w:suff w:val="tab"/>
    </w:lvl>
  </w:abstractNum>
  <w:abstractNum w:abstractNumId="22">
    <w:multiLevelType w:val="singleLevel"/>
    <w:nsid w:val="00000017"/>
    <w:lvl w:ilvl="0">
      <w:lvlJc w:val="left"/>
      <w:lvlText w:val="%1."/>
      <w:numFmt w:val="decimal"/>
      <w:pPr>
        <w:tabs>
          <w:tab w:val="num" w:leader="none" w:pos="0"/>
        </w:tabs>
        <w:ind w:hanging="360" w:left="720"/>
      </w:pPr>
      <w:start w:val="1"/>
      <w:suff w:val="tab"/>
    </w:lvl>
  </w:abstractNum>
  <w:abstractNum w:abstractNumId="23">
    <w:multiLevelType w:val="singleLevel"/>
    <w:nsid w:val="00000018"/>
    <w:lvl w:ilvl="0">
      <w:lvlJc w:val="left"/>
      <w:lvlText w:val=""/>
      <w:numFmt w:val="bullet"/>
      <w:pPr>
        <w:tabs>
          <w:tab w:val="num" w:leader="none" w:pos="0"/>
        </w:tabs>
        <w:ind w:hanging="360" w:left="720"/>
      </w:pPr>
      <w:rPr>
        <w:rFonts w:ascii="Symbol" w:hAnsi="Symbol" w:cs="Symbol"/>
      </w:rPr>
      <w:start w:val="1"/>
      <w:suff w:val="tab"/>
    </w:lvl>
  </w:abstractNum>
  <w:abstractNum w:abstractNumId="24">
    <w:multiLevelType w:val="multilevel"/>
    <w:nsid w:val="00000019"/>
    <w:lvl w:ilvl="0">
      <w:lvlJc w:val="right"/>
      <w:lvlText w:val="%1."/>
      <w:numFmt w:val="upperRoman"/>
      <w:pPr>
        <w:tabs>
          <w:tab w:val="num" w:leader="none" w:pos="0"/>
        </w:tabs>
        <w:ind w:hanging="432" w:left="432"/>
      </w:pPr>
      <w:start w:val="1"/>
      <w:suff w:val="tab"/>
    </w:lvl>
    <w:lvl w:ilvl="1">
      <w:lvlJc w:val="left"/>
      <w:lvlText w:val="%1.%2"/>
      <w:numFmt w:val="decimal"/>
      <w:pPr>
        <w:tabs>
          <w:tab w:val="num" w:leader="none" w:pos="0"/>
        </w:tabs>
        <w:ind w:hanging="576" w:left="2418"/>
      </w:pPr>
      <w:start w:val="2"/>
      <w:suff w:val="tab"/>
    </w:lvl>
    <w:lvl w:ilvl="2">
      <w:lvlJc w:val="left"/>
      <w:lvlText w:val="%1.%2.%3"/>
      <w:numFmt w:val="decimal"/>
      <w:pPr>
        <w:tabs>
          <w:tab w:val="num" w:leader="none" w:pos="0"/>
        </w:tabs>
        <w:ind w:hanging="720" w:left="1004"/>
      </w:pPr>
      <w:start w:val="1"/>
      <w:suff w:val="tab"/>
    </w:lvl>
    <w:lvl w:ilvl="3">
      <w:lvlJc w:val="left"/>
      <w:lvlText w:val="%1.%2.%3.%4"/>
      <w:numFmt w:val="decimal"/>
      <w:pPr>
        <w:tabs>
          <w:tab w:val="num" w:leader="none" w:pos="0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tabs>
          <w:tab w:val="num" w:leader="none" w:pos="0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tabs>
          <w:tab w:val="num" w:leader="none" w:pos="0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tabs>
          <w:tab w:val="num" w:leader="none" w:pos="0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tabs>
          <w:tab w:val="num" w:leader="none" w:pos="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tabs>
          <w:tab w:val="num" w:leader="none" w:pos="0"/>
        </w:tabs>
        <w:ind w:hanging="1584" w:left="1584"/>
      </w:p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displayHorizontalDrawingGridEvery w:val="0"/>
  <w:displayVerticalDrawingGridEvery w:val="0"/>
  <w:characterSpacingControl w:val="doNotCompress"/>
  <w:footnotePr>
    <w:footnote w:id="-1"/>
    <w:footnote w:id="0"/>
  </w:foot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pPr>
      <w:widowControl w:val="true"/>
      <w:bidi w:val="false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pPr>
      <w:keepNext w:val="true"/>
      <w:numPr>
        <w:ilvl w:val="0"/>
        <w:numId w:val="1"/>
      </w:numPr>
      <w:jc w:val="both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Normal"/>
    <w:pPr>
      <w:keepNext w:val="true"/>
      <w:numPr>
        <w:ilvl w:val="1"/>
        <w:numId w:val="1"/>
      </w:numPr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Normal"/>
    <w:pPr>
      <w:keepNext w:val="true"/>
      <w:numPr>
        <w:ilvl w:val="2"/>
        <w:numId w:val="1"/>
      </w:numPr>
      <w:spacing w:after="60" w:before="24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Normal"/>
    <w:pPr>
      <w:keepNext w:val="true"/>
      <w:numPr>
        <w:ilvl w:val="3"/>
        <w:numId w:val="1"/>
      </w:numPr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ormal"/>
    <w:pPr>
      <w:keepNext w:val="true"/>
      <w:numPr>
        <w:ilvl w:val="4"/>
        <w:numId w:val="1"/>
      </w:numPr>
      <w:jc w:val="center"/>
      <w:outlineLvl w:val="4"/>
    </w:pPr>
    <w:rPr>
      <w:rFonts w:ascii="Arial CYR" w:hAnsi="Arial CYR" w:cs="Arial CYR"/>
      <w:b/>
      <w:bCs/>
      <w:sz w:val="20"/>
      <w:szCs w:val="20"/>
    </w:rPr>
  </w:style>
  <w:style w:type="paragraph" w:styleId="Heading6">
    <w:name w:val="heading 6"/>
    <w:basedOn w:val="Normal"/>
    <w:next w:val="Normal"/>
    <w:pPr>
      <w:keepNext w:val="true"/>
      <w:numPr>
        <w:ilvl w:val="5"/>
        <w:numId w:val="1"/>
      </w:numPr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link w:val="Normal"/>
    <w:pPr>
      <w:keepNext w:val="true"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paragraph" w:styleId="Heading8">
    <w:name w:val="heading 8"/>
    <w:basedOn w:val="Normal"/>
    <w:next w:val="Normal"/>
    <w:link w:val="Normal"/>
    <w:pPr>
      <w:keepNext w:val="true"/>
      <w:numPr>
        <w:ilvl w:val="7"/>
        <w:numId w:val="1"/>
      </w:numPr>
      <w:outlineLvl w:val="7"/>
    </w:pPr>
    <w:rPr>
      <w:rFonts w:ascii="Arial CYR" w:hAnsi="Arial CYR" w:cs="Arial CYR"/>
      <w:sz w:val="20"/>
      <w:szCs w:val="20"/>
    </w:rPr>
  </w:style>
  <w:style w:type="paragraph" w:styleId="Heading9">
    <w:name w:val="heading 9"/>
    <w:basedOn w:val="Normal"/>
    <w:next w:val="Normal"/>
    <w:link w:val="Normal"/>
    <w:pPr>
      <w:keepNext w:val="true"/>
      <w:numPr>
        <w:ilvl w:val="8"/>
        <w:numId w:val="1"/>
      </w:numPr>
      <w:jc w:val="center"/>
      <w:outlineLvl w:val="8"/>
    </w:pPr>
    <w:rPr>
      <w:b/>
      <w:bCs/>
    </w:rPr>
  </w:style>
  <w:style w:type="character" w:styleId="UserStyle_0">
    <w:name w:val="WW8Num1z0"/>
    <w:next w:val="UserStyle_0"/>
    <w:rPr>
      <w:rFonts w:ascii="Wingdings" w:hAnsi="Wingdings" w:cs="Wingdings"/>
    </w:rPr>
  </w:style>
  <w:style w:type="character" w:styleId="UserStyle_1">
    <w:name w:val="WW8Num1z1"/>
    <w:next w:val="UserStyle_1"/>
    <w:link w:val="Normal"/>
    <w:rPr>
      <w:rFonts w:ascii="Courier New" w:hAnsi="Courier New" w:cs="Courier New"/>
    </w:rPr>
  </w:style>
  <w:style w:type="character" w:styleId="UserStyle_2">
    <w:name w:val="WW8Num1z3"/>
    <w:next w:val="UserStyle_2"/>
    <w:link w:val="Normal"/>
    <w:rPr>
      <w:rFonts w:ascii="Symbol" w:hAnsi="Symbol" w:cs="Symbol"/>
    </w:rPr>
  </w:style>
  <w:style w:type="character" w:styleId="UserStyle_3">
    <w:name w:val="WW8Num2z0"/>
    <w:next w:val="UserStyle_3"/>
    <w:link w:val="Normal"/>
    <w:rPr>
      <w:rFonts w:ascii="Courier New" w:hAnsi="Courier New" w:cs="Courier New"/>
    </w:rPr>
  </w:style>
  <w:style w:type="character" w:styleId="UserStyle_4">
    <w:name w:val="WW8Num2z2"/>
    <w:next w:val="UserStyle_4"/>
    <w:link w:val="Normal"/>
    <w:rPr>
      <w:rFonts w:ascii="Wingdings" w:hAnsi="Wingdings" w:cs="Wingdings"/>
    </w:rPr>
  </w:style>
  <w:style w:type="character" w:styleId="UserStyle_5">
    <w:name w:val="WW8Num2z3"/>
    <w:next w:val="UserStyle_5"/>
    <w:link w:val="Normal"/>
    <w:rPr>
      <w:rFonts w:ascii="Symbol" w:hAnsi="Symbol" w:cs="Symbol"/>
    </w:rPr>
  </w:style>
  <w:style w:type="character" w:styleId="UserStyle_6">
    <w:name w:val="WW8Num3z0"/>
    <w:next w:val="UserStyle_6"/>
    <w:link w:val="Normal"/>
    <w:rPr>
      <w:rFonts w:ascii="Wingdings" w:hAnsi="Wingdings" w:cs="Wingdings"/>
    </w:rPr>
  </w:style>
  <w:style w:type="character" w:styleId="UserStyle_7">
    <w:name w:val="WW8Num3z1"/>
    <w:next w:val="UserStyle_7"/>
    <w:link w:val="Normal"/>
    <w:rPr>
      <w:rFonts w:ascii="Courier New" w:hAnsi="Courier New" w:cs="Courier New"/>
    </w:rPr>
  </w:style>
  <w:style w:type="character" w:styleId="UserStyle_8">
    <w:name w:val="WW8Num3z3"/>
    <w:next w:val="UserStyle_8"/>
    <w:link w:val="Normal"/>
    <w:rPr>
      <w:rFonts w:ascii="Symbol" w:hAnsi="Symbol" w:cs="Symbol"/>
    </w:rPr>
  </w:style>
  <w:style w:type="character" w:styleId="UserStyle_9">
    <w:name w:val="WW8Num4z0"/>
    <w:next w:val="UserStyle_9"/>
    <w:link w:val="Normal"/>
  </w:style>
  <w:style w:type="character" w:styleId="UserStyle_10">
    <w:name w:val="WW8Num5z0"/>
    <w:next w:val="UserStyle_10"/>
    <w:link w:val="Normal"/>
    <w:rPr>
      <w:rFonts w:ascii="Courier New" w:hAnsi="Courier New" w:cs="Courier New"/>
    </w:rPr>
  </w:style>
  <w:style w:type="character" w:styleId="UserStyle_11">
    <w:name w:val="WW8Num5z2"/>
    <w:next w:val="UserStyle_11"/>
    <w:link w:val="Normal"/>
    <w:rPr>
      <w:rFonts w:ascii="Wingdings" w:hAnsi="Wingdings" w:cs="Wingdings"/>
    </w:rPr>
  </w:style>
  <w:style w:type="character" w:styleId="UserStyle_12">
    <w:name w:val="WW8Num5z3"/>
    <w:next w:val="UserStyle_12"/>
    <w:link w:val="Normal"/>
    <w:rPr>
      <w:rFonts w:ascii="Symbol" w:hAnsi="Symbol" w:cs="Symbol"/>
    </w:rPr>
  </w:style>
  <w:style w:type="character" w:styleId="UserStyle_13">
    <w:name w:val="WW8Num6z0"/>
    <w:next w:val="UserStyle_13"/>
    <w:link w:val="Normal"/>
  </w:style>
  <w:style w:type="character" w:styleId="UserStyle_14">
    <w:name w:val="WW8Num7z0"/>
    <w:next w:val="UserStyle_14"/>
    <w:link w:val="Normal"/>
    <w:rPr>
      <w:rFonts w:ascii="Symbol" w:hAnsi="Symbol" w:cs="Symbol"/>
      <w:color w:val="000000"/>
    </w:rPr>
  </w:style>
  <w:style w:type="character" w:styleId="UserStyle_15">
    <w:name w:val="WW8Num7z1"/>
    <w:next w:val="UserStyle_15"/>
    <w:rPr>
      <w:rFonts w:ascii="Courier New" w:hAnsi="Courier New" w:cs="Courier New"/>
    </w:rPr>
  </w:style>
  <w:style w:type="character" w:styleId="UserStyle_16">
    <w:name w:val="WW8Num7z2"/>
    <w:next w:val="UserStyle_16"/>
    <w:link w:val="Normal"/>
    <w:rPr>
      <w:rFonts w:ascii="Wingdings" w:hAnsi="Wingdings" w:cs="Wingdings"/>
    </w:rPr>
  </w:style>
  <w:style w:type="character" w:styleId="UserStyle_17">
    <w:name w:val="WW8Num7z3"/>
    <w:next w:val="UserStyle_17"/>
    <w:link w:val="Normal"/>
    <w:rPr>
      <w:rFonts w:ascii="Symbol" w:hAnsi="Symbol" w:cs="Symbol"/>
    </w:rPr>
  </w:style>
  <w:style w:type="character" w:styleId="UserStyle_18">
    <w:name w:val="WW8Num8z0"/>
    <w:next w:val="UserStyle_18"/>
    <w:link w:val="Normal"/>
    <w:rPr>
      <w:rFonts w:ascii="Courier New" w:hAnsi="Courier New" w:cs="Courier New"/>
    </w:rPr>
  </w:style>
  <w:style w:type="character" w:styleId="UserStyle_19">
    <w:name w:val="WW8Num8z2"/>
    <w:next w:val="UserStyle_19"/>
    <w:link w:val="Normal"/>
    <w:rPr>
      <w:rFonts w:ascii="Wingdings" w:hAnsi="Wingdings" w:cs="Wingdings"/>
    </w:rPr>
  </w:style>
  <w:style w:type="character" w:styleId="UserStyle_20">
    <w:name w:val="WW8Num8z3"/>
    <w:next w:val="UserStyle_20"/>
    <w:link w:val="Normal"/>
    <w:rPr>
      <w:rFonts w:ascii="Symbol" w:hAnsi="Symbol" w:cs="Symbol"/>
    </w:rPr>
  </w:style>
  <w:style w:type="character" w:styleId="UserStyle_21">
    <w:name w:val="WW8Num9z0"/>
    <w:next w:val="UserStyle_21"/>
    <w:link w:val="Normal"/>
    <w:rPr>
      <w:rFonts w:ascii="Symbol" w:hAnsi="Symbol" w:cs="Symbol"/>
      <w:sz w:val="20"/>
    </w:rPr>
  </w:style>
  <w:style w:type="character" w:styleId="UserStyle_22">
    <w:name w:val="WW8Num9z1"/>
    <w:next w:val="UserStyle_22"/>
    <w:rPr>
      <w:rFonts w:ascii="Courier New" w:hAnsi="Courier New" w:cs="Courier New"/>
      <w:sz w:val="20"/>
    </w:rPr>
  </w:style>
  <w:style w:type="character" w:styleId="UserStyle_23">
    <w:name w:val="WW8Num9z2"/>
    <w:next w:val="UserStyle_23"/>
  </w:style>
  <w:style w:type="character" w:styleId="UserStyle_24">
    <w:name w:val="WW8Num9z3"/>
    <w:next w:val="UserStyle_24"/>
    <w:link w:val="Normal"/>
    <w:rPr>
      <w:rFonts w:ascii="Wingdings" w:hAnsi="Wingdings" w:cs="Wingdings"/>
      <w:sz w:val="20"/>
    </w:rPr>
  </w:style>
  <w:style w:type="character" w:styleId="UserStyle_25">
    <w:name w:val="WW8Num10z0"/>
    <w:next w:val="UserStyle_25"/>
  </w:style>
  <w:style w:type="character" w:styleId="UserStyle_26">
    <w:name w:val="WW8Num10z2"/>
    <w:next w:val="UserStyle_26"/>
    <w:link w:val="Normal"/>
    <w:rPr>
      <w:rFonts w:ascii="Symbol" w:hAnsi="Symbol" w:cs="Symbol"/>
    </w:rPr>
  </w:style>
  <w:style w:type="character" w:styleId="UserStyle_27">
    <w:name w:val="WW8Num11z0"/>
    <w:next w:val="UserStyle_27"/>
    <w:link w:val="Normal"/>
    <w:rPr>
      <w:rFonts w:ascii="Wingdings" w:hAnsi="Wingdings" w:cs="Wingdings"/>
    </w:rPr>
  </w:style>
  <w:style w:type="character" w:styleId="UserStyle_28">
    <w:name w:val="WW8Num12z0"/>
    <w:next w:val="UserStyle_28"/>
    <w:link w:val="Normal"/>
    <w:rPr>
      <w:rFonts w:cs="Arial Unicode MS"/>
      <w:caps w:val="0"/>
      <w:smallCaps w:val="0"/>
      <w:strike w:val="0"/>
      <w:spacing w:val="0"/>
      <w:w w:val="100"/>
      <w:kern w:val="0"/>
      <w:position w:val="0"/>
      <w:sz w:val="24"/>
      <w:u w:val="none"/>
      <w:vertAlign w:val="baseline"/>
    </w:rPr>
  </w:style>
  <w:style w:type="character" w:styleId="UserStyle_29">
    <w:name w:val="WW8Num13z0"/>
    <w:next w:val="UserStyle_29"/>
    <w:rPr>
      <w:rFonts w:cs="Arial Unicode MS"/>
      <w:b/>
      <w:bCs/>
      <w:caps w:val="0"/>
      <w:smallCaps w:val="0"/>
      <w:strike w:val="0"/>
      <w:spacing w:val="0"/>
      <w:w w:val="100"/>
      <w:kern w:val="0"/>
      <w:position w:val="0"/>
      <w:sz w:val="24"/>
      <w:u w:val="none"/>
      <w:vertAlign w:val="baseline"/>
    </w:rPr>
  </w:style>
  <w:style w:type="character" w:styleId="UserStyle_30">
    <w:name w:val="WW8Num14z0"/>
    <w:next w:val="UserStyle_30"/>
    <w:rPr>
      <w:rFonts w:ascii="Symbol" w:hAnsi="Symbol" w:cs="Symbol"/>
    </w:rPr>
  </w:style>
  <w:style w:type="character" w:styleId="UserStyle_31">
    <w:name w:val="WW8Num14z1"/>
    <w:next w:val="UserStyle_31"/>
    <w:link w:val="Normal"/>
    <w:rPr>
      <w:rFonts w:ascii="Courier New" w:hAnsi="Courier New" w:cs="Courier New"/>
    </w:rPr>
  </w:style>
  <w:style w:type="character" w:styleId="UserStyle_32">
    <w:name w:val="WW8Num14z2"/>
    <w:next w:val="UserStyle_32"/>
    <w:link w:val="Normal"/>
    <w:rPr>
      <w:rFonts w:ascii="Wingdings" w:hAnsi="Wingdings" w:cs="Wingdings"/>
    </w:rPr>
  </w:style>
  <w:style w:type="character" w:styleId="UserStyle_33">
    <w:name w:val="WW8Num16z0"/>
    <w:next w:val="UserStyle_33"/>
    <w:link w:val="Normal"/>
  </w:style>
  <w:style w:type="character" w:styleId="UserStyle_34">
    <w:name w:val="WW8Num17z0"/>
    <w:next w:val="UserStyle_34"/>
    <w:link w:val="Normal"/>
  </w:style>
  <w:style w:type="character" w:styleId="UserStyle_35">
    <w:name w:val="WW8Num17z2"/>
    <w:next w:val="UserStyle_35"/>
    <w:link w:val="Normal"/>
    <w:rPr>
      <w:rFonts w:ascii="Symbol" w:hAnsi="Symbol" w:cs="Symbol"/>
      <w:color w:val="000000"/>
    </w:rPr>
  </w:style>
  <w:style w:type="character" w:styleId="UserStyle_36">
    <w:name w:val="WW8Num18z0"/>
    <w:next w:val="UserStyle_36"/>
    <w:rPr>
      <w:rFonts w:ascii="Symbol" w:hAnsi="Symbol" w:cs="Symbol"/>
    </w:rPr>
  </w:style>
  <w:style w:type="character" w:styleId="UserStyle_37">
    <w:name w:val="WW8Num18z1"/>
    <w:next w:val="UserStyle_37"/>
    <w:link w:val="Normal"/>
    <w:rPr>
      <w:rFonts w:ascii="Courier New" w:hAnsi="Courier New" w:cs="Courier New"/>
    </w:rPr>
  </w:style>
  <w:style w:type="character" w:styleId="UserStyle_38">
    <w:name w:val="WW8Num18z2"/>
    <w:next w:val="UserStyle_38"/>
    <w:link w:val="Normal"/>
    <w:rPr>
      <w:rFonts w:ascii="Wingdings" w:hAnsi="Wingdings" w:cs="Wingdings"/>
    </w:rPr>
  </w:style>
  <w:style w:type="character" w:styleId="UserStyle_39">
    <w:name w:val="WW8Num19z0"/>
    <w:next w:val="UserStyle_39"/>
    <w:link w:val="Normal"/>
    <w:rPr>
      <w:rFonts w:ascii="Courier New" w:hAnsi="Courier New" w:cs="Courier New"/>
    </w:rPr>
  </w:style>
  <w:style w:type="character" w:styleId="UserStyle_40">
    <w:name w:val="WW8Num19z2"/>
    <w:next w:val="UserStyle_40"/>
    <w:link w:val="Normal"/>
    <w:rPr>
      <w:rFonts w:ascii="Wingdings" w:hAnsi="Wingdings" w:cs="Wingdings"/>
    </w:rPr>
  </w:style>
  <w:style w:type="character" w:styleId="UserStyle_41">
    <w:name w:val="WW8Num19z3"/>
    <w:next w:val="UserStyle_41"/>
    <w:link w:val="Normal"/>
    <w:rPr>
      <w:rFonts w:ascii="Symbol" w:hAnsi="Symbol" w:cs="Symbol"/>
    </w:rPr>
  </w:style>
  <w:style w:type="character" w:styleId="UserStyle_42">
    <w:name w:val="WW8Num20z0"/>
    <w:next w:val="UserStyle_42"/>
    <w:link w:val="Normal"/>
  </w:style>
  <w:style w:type="character" w:styleId="UserStyle_43">
    <w:name w:val="WW8Num21z0"/>
    <w:next w:val="UserStyle_43"/>
    <w:link w:val="Normal"/>
  </w:style>
  <w:style w:type="character" w:styleId="UserStyle_44">
    <w:name w:val="WW8Num22z0"/>
    <w:next w:val="UserStyle_44"/>
    <w:link w:val="Normal"/>
    <w:rPr>
      <w:rFonts w:ascii="Symbol" w:hAnsi="Symbol" w:cs="Symbol"/>
    </w:rPr>
  </w:style>
  <w:style w:type="character" w:styleId="UserStyle_45">
    <w:name w:val="WW8Num22z1"/>
    <w:next w:val="UserStyle_45"/>
    <w:link w:val="Normal"/>
    <w:rPr>
      <w:rFonts w:ascii="Courier New" w:hAnsi="Courier New" w:cs="Courier New"/>
    </w:rPr>
  </w:style>
  <w:style w:type="character" w:styleId="UserStyle_46">
    <w:name w:val="WW8Num22z2"/>
    <w:next w:val="UserStyle_46"/>
    <w:link w:val="Normal"/>
    <w:rPr>
      <w:rFonts w:ascii="Wingdings" w:hAnsi="Wingdings" w:cs="Wingdings"/>
    </w:rPr>
  </w:style>
  <w:style w:type="character" w:styleId="UserStyle_47">
    <w:name w:val="WW8Num23z0"/>
    <w:next w:val="UserStyle_47"/>
    <w:link w:val="Normal"/>
    <w:rPr>
      <w:rFonts w:ascii="Symbol" w:hAnsi="Symbol" w:cs="Symbol"/>
    </w:rPr>
  </w:style>
  <w:style w:type="character" w:styleId="UserStyle_48">
    <w:name w:val="WW8Num23z1"/>
    <w:next w:val="UserStyle_48"/>
    <w:link w:val="Normal"/>
    <w:rPr>
      <w:rFonts w:ascii="Courier New" w:hAnsi="Courier New" w:cs="Courier New"/>
    </w:rPr>
  </w:style>
  <w:style w:type="character" w:styleId="UserStyle_49">
    <w:name w:val="WW8Num23z2"/>
    <w:next w:val="UserStyle_49"/>
    <w:link w:val="Normal"/>
    <w:rPr>
      <w:rFonts w:ascii="Wingdings" w:hAnsi="Wingdings" w:cs="Wingdings"/>
    </w:rPr>
  </w:style>
  <w:style w:type="character" w:styleId="UserStyle_50">
    <w:name w:val="WW8Num24z0"/>
    <w:next w:val="UserStyle_50"/>
    <w:link w:val="Normal"/>
    <w:rPr>
      <w:rFonts w:ascii="Symbol" w:hAnsi="Symbol" w:cs="Symbol"/>
    </w:rPr>
  </w:style>
  <w:style w:type="character" w:styleId="UserStyle_51">
    <w:name w:val="WW8Num24z1"/>
    <w:next w:val="UserStyle_51"/>
    <w:link w:val="Normal"/>
    <w:rPr>
      <w:rFonts w:ascii="Courier New" w:hAnsi="Courier New" w:cs="Courier New"/>
    </w:rPr>
  </w:style>
  <w:style w:type="character" w:styleId="UserStyle_52">
    <w:name w:val="WW8Num24z2"/>
    <w:next w:val="UserStyle_52"/>
    <w:link w:val="Normal"/>
    <w:rPr>
      <w:rFonts w:ascii="Wingdings" w:hAnsi="Wingdings" w:cs="Wingdings"/>
    </w:rPr>
  </w:style>
  <w:style w:type="character" w:styleId="UserStyle_53">
    <w:name w:val="WW8Num26z0"/>
    <w:next w:val="UserStyle_53"/>
    <w:link w:val="Normal"/>
    <w:rPr>
      <w:rFonts w:ascii="Symbol" w:hAnsi="Symbol" w:cs="Symbol"/>
    </w:rPr>
  </w:style>
  <w:style w:type="character" w:styleId="UserStyle_54">
    <w:name w:val="WW8Num26z1"/>
    <w:next w:val="UserStyle_54"/>
    <w:link w:val="Normal"/>
    <w:rPr>
      <w:rFonts w:ascii="Courier New" w:hAnsi="Courier New" w:cs="Courier New"/>
    </w:rPr>
  </w:style>
  <w:style w:type="character" w:styleId="UserStyle_55">
    <w:name w:val="WW8Num26z2"/>
    <w:next w:val="UserStyle_55"/>
    <w:link w:val="Normal"/>
    <w:rPr>
      <w:rFonts w:ascii="Wingdings" w:hAnsi="Wingdings" w:cs="Wingdings"/>
    </w:rPr>
  </w:style>
  <w:style w:type="character" w:styleId="UserStyle_56">
    <w:name w:val="Основной шрифт абзаца"/>
    <w:next w:val="UserStyle_56"/>
    <w:link w:val="Normal"/>
  </w:style>
  <w:style w:type="character" w:styleId="UserStyle_57">
    <w:name w:val="Заголовок 1 Знак"/>
    <w:next w:val="UserStyle_57"/>
    <w:link w:val="Normal"/>
    <w:rPr>
      <w:b/>
      <w:bCs/>
      <w:sz w:val="24"/>
      <w:szCs w:val="24"/>
      <w:lang w:val="en-US"/>
    </w:rPr>
  </w:style>
  <w:style w:type="character" w:styleId="UserStyle_58">
    <w:name w:val="Основной текст Знак"/>
    <w:next w:val="UserStyle_58"/>
    <w:rPr>
      <w:color w:val="000000"/>
      <w:sz w:val="24"/>
      <w:szCs w:val="21"/>
      <w:lang w:val="ru-RU" w:bidi="ar-SA"/>
    </w:rPr>
  </w:style>
  <w:style w:type="character" w:styleId="UserStyle_59">
    <w:name w:val="source3"/>
    <w:basedOn w:val="UserStyle_56"/>
    <w:next w:val="UserStyle_59"/>
  </w:style>
  <w:style w:type="character" w:styleId="Strong">
    <w:name w:val="Strong"/>
    <w:next w:val="Strong"/>
    <w:link w:val="Normal"/>
    <w:rPr>
      <w:b/>
      <w:bCs/>
    </w:rPr>
  </w:style>
  <w:style w:type="character" w:styleId="PageNumber">
    <w:name w:val="page number"/>
    <w:basedOn w:val="UserStyle_56"/>
    <w:next w:val="PageNumber"/>
    <w:link w:val="Normal"/>
  </w:style>
  <w:style w:type="character" w:styleId="Hyperlink">
    <w:name w:val="Hyperlink"/>
    <w:next w:val="Hyperlink"/>
    <w:link w:val="Normal"/>
    <w:rPr>
      <w:color w:val="0000ff"/>
      <w:u w:val="single"/>
    </w:rPr>
  </w:style>
  <w:style w:type="character" w:styleId="UserStyle_60">
    <w:name w:val="boilerplate seealso"/>
    <w:next w:val="UserStyle_60"/>
    <w:link w:val="Normal"/>
    <w:rPr>
      <w:rFonts w:cs="Times New Roman"/>
    </w:rPr>
  </w:style>
  <w:style w:type="character" w:styleId="UserStyle_61">
    <w:name w:val="Знак примечания"/>
    <w:next w:val="UserStyle_61"/>
    <w:link w:val="Normal"/>
    <w:rPr>
      <w:sz w:val="16"/>
      <w:szCs w:val="16"/>
    </w:rPr>
  </w:style>
  <w:style w:type="character" w:styleId="Emphasis">
    <w:name w:val="Emphasis"/>
    <w:next w:val="Emphasis"/>
    <w:link w:val="Normal"/>
    <w:rPr>
      <w:i/>
      <w:iCs/>
    </w:rPr>
  </w:style>
  <w:style w:type="character" w:styleId="UserStyle_62">
    <w:name w:val="squot"/>
    <w:basedOn w:val="UserStyle_56"/>
    <w:next w:val="UserStyle_62"/>
    <w:link w:val="Normal"/>
  </w:style>
  <w:style w:type="character" w:styleId="UserStyle_63">
    <w:name w:val="quot"/>
    <w:basedOn w:val="UserStyle_56"/>
    <w:next w:val="UserStyle_63"/>
    <w:link w:val="Normal"/>
  </w:style>
  <w:style w:type="character" w:styleId="UserStyle_64">
    <w:name w:val="sbra"/>
    <w:basedOn w:val="UserStyle_56"/>
    <w:next w:val="UserStyle_64"/>
    <w:link w:val="Normal"/>
  </w:style>
  <w:style w:type="character" w:styleId="UserStyle_65">
    <w:name w:val="bra"/>
    <w:basedOn w:val="UserStyle_56"/>
    <w:next w:val="UserStyle_65"/>
    <w:link w:val="Normal"/>
  </w:style>
  <w:style w:type="character" w:styleId="FollowedHyperlink">
    <w:name w:val="FollowedHyperlink"/>
    <w:next w:val="FollowedHyperlink"/>
    <w:link w:val="Normal"/>
    <w:rPr>
      <w:color w:val="800080"/>
      <w:u w:val="single"/>
    </w:rPr>
  </w:style>
  <w:style w:type="character" w:styleId="UserStyle_66">
    <w:name w:val="right-quote1"/>
    <w:next w:val="UserStyle_66"/>
    <w:link w:val="Normal"/>
    <w:rPr>
      <w:rFonts w:ascii="Georgia" w:hAnsi="Georgia" w:cs="Georgia"/>
      <w:sz w:val="26"/>
      <w:szCs w:val="26"/>
    </w:rPr>
  </w:style>
  <w:style w:type="character" w:styleId="UserStyle_67">
    <w:name w:val="Заголовок 2 Знак"/>
    <w:next w:val="UserStyle_67"/>
    <w:rPr>
      <w:b/>
      <w:bCs/>
      <w:sz w:val="24"/>
      <w:szCs w:val="24"/>
      <w:lang w:val="en-US"/>
    </w:rPr>
  </w:style>
  <w:style w:type="character" w:styleId="UserStyle_68">
    <w:name w:val="Заголовок 3 Знак"/>
    <w:next w:val="UserStyle_68"/>
    <w:rPr>
      <w:b/>
      <w:bCs/>
      <w:sz w:val="24"/>
      <w:szCs w:val="24"/>
      <w:lang w:val="en-US"/>
    </w:rPr>
  </w:style>
  <w:style w:type="character" w:styleId="UserStyle_69">
    <w:name w:val="Стиль1 Знак"/>
    <w:next w:val="UserStyle_69"/>
    <w:rPr>
      <w:b/>
      <w:bCs/>
      <w:sz w:val="22"/>
      <w:szCs w:val="22"/>
      <w:lang w:val="en-US"/>
    </w:rPr>
  </w:style>
  <w:style w:type="character" w:styleId="UserStyle_70">
    <w:name w:val="apple-converted-space"/>
    <w:next w:val="UserStyle_70"/>
  </w:style>
  <w:style w:type="character" w:styleId="UserStyle_71">
    <w:name w:val="see_also"/>
    <w:next w:val="UserStyle_71"/>
    <w:link w:val="Normal"/>
  </w:style>
  <w:style w:type="character" w:styleId="UserStyle_72">
    <w:name w:val="see_also__title"/>
    <w:next w:val="UserStyle_72"/>
    <w:link w:val="Normal"/>
  </w:style>
  <w:style w:type="character" w:styleId="UserStyle_73">
    <w:name w:val="Абзац списка Знак"/>
    <w:next w:val="UserStyle_73"/>
    <w:link w:val="Normal"/>
    <w:rPr>
      <w:rFonts w:ascii="Cambria" w:hAnsi="Cambria" w:eastAsia="Cambria" w:cs="Cambria"/>
      <w:sz w:val="24"/>
      <w:szCs w:val="24"/>
    </w:rPr>
  </w:style>
  <w:style w:type="character" w:styleId="UserStyle_74">
    <w:name w:val="markdown-word"/>
    <w:next w:val="UserStyle_74"/>
  </w:style>
  <w:style w:type="paragraph" w:styleId="UserStyle_75">
    <w:name w:val="Заголовок"/>
    <w:basedOn w:val="Normal"/>
    <w:next w:val="BodyText"/>
    <w:link w:val="Normal"/>
    <w:pPr>
      <w:jc w:val="center"/>
    </w:pPr>
    <w:rPr>
      <w:b/>
      <w:bCs/>
    </w:rPr>
  </w:style>
  <w:style w:type="paragraph" w:styleId="BodyText">
    <w:name w:val="Body Text"/>
    <w:basedOn w:val="Normal"/>
    <w:next w:val="BodyText"/>
    <w:link w:val="Normal"/>
    <w:rPr>
      <w:color w:val="000000"/>
      <w:szCs w:val="21"/>
    </w:rPr>
  </w:style>
  <w:style w:type="paragraph" w:styleId="List">
    <w:name w:val="List"/>
    <w:basedOn w:val="BodyText"/>
    <w:next w:val="List"/>
    <w:link w:val="Normal"/>
    <w:rPr>
      <w:rFonts w:cs="Droid Sans"/>
    </w:rPr>
  </w:style>
  <w:style w:type="paragraph" w:styleId="Caption">
    <w:name w:val="caption"/>
    <w:basedOn w:val="Normal"/>
    <w:next w:val="Caption"/>
    <w:link w:val="Normal"/>
    <w:pPr>
      <w:suppressLineNumbers w:val="true"/>
      <w:spacing w:after="120" w:before="120"/>
    </w:pPr>
    <w:rPr>
      <w:rFonts w:cs="Droid Sans"/>
      <w:i/>
      <w:iCs/>
      <w:sz w:val="24"/>
      <w:szCs w:val="24"/>
    </w:rPr>
  </w:style>
  <w:style w:type="paragraph" w:styleId="UserStyle_76">
    <w:name w:val="Указатель"/>
    <w:basedOn w:val="Normal"/>
    <w:next w:val="UserStyle_76"/>
    <w:pPr>
      <w:suppressLineNumbers w:val="true"/>
    </w:pPr>
    <w:rPr>
      <w:rFonts w:cs="Droid Sans"/>
    </w:rPr>
  </w:style>
  <w:style w:type="paragraph" w:styleId="UserStyle_77">
    <w:name w:val="Знак1 Знак Знак Знак Знак Знак Знак Знак"/>
    <w:basedOn w:val="Normal"/>
    <w:next w:val="UserStyle_77"/>
    <w:link w:val="Normal"/>
    <w:pPr>
      <w:tabs>
        <w:tab w:val="left" w:leader="none" w:pos="360"/>
      </w:tabs>
      <w:spacing w:after="160" w:before="0" w:line="240" w:lineRule="exact"/>
      <w:ind w:right="0" w:hanging="360" w:left="360"/>
      <w:jc w:val="both"/>
    </w:pPr>
    <w:rPr>
      <w:rFonts w:ascii="Verdana" w:hAnsi="Verdana" w:cs="Verdana"/>
      <w:sz w:val="20"/>
      <w:szCs w:val="20"/>
      <w:lang w:val="en-US"/>
    </w:rPr>
  </w:style>
  <w:style w:type="paragraph" w:styleId="UserStyle_78">
    <w:name w:val=" Char Char1 Знак Знак Char Char Знак Знак Char Char Знак Знак Char Char"/>
    <w:basedOn w:val="Normal"/>
    <w:next w:val="UserStyle_78"/>
    <w:pPr>
      <w:spacing w:after="160" w:before="0" w:line="240" w:lineRule="exact"/>
    </w:pPr>
    <w:rPr>
      <w:sz w:val="20"/>
      <w:szCs w:val="20"/>
    </w:rPr>
  </w:style>
  <w:style w:type="paragraph" w:styleId="UserStyle_79">
    <w:name w:val="Обычный (веб)"/>
    <w:basedOn w:val="Normal"/>
    <w:next w:val="UserStyle_79"/>
    <w:link w:val="Normal"/>
    <w:pPr>
      <w:spacing w:after="280" w:before="280"/>
    </w:pPr>
    <w:rPr>
      <w:rFonts w:ascii="Arial Unicode MS" w:hAnsi="Arial Unicode MS" w:eastAsia="Arial Unicode MS" w:cs="Arial Unicode MS"/>
    </w:rPr>
  </w:style>
  <w:style w:type="paragraph" w:styleId="UserStyle_80">
    <w:name w:val="Основной текст 2"/>
    <w:basedOn w:val="Normal"/>
    <w:next w:val="UserStyle_80"/>
    <w:link w:val="Normal"/>
    <w:pPr>
      <w:spacing w:after="280" w:before="280"/>
    </w:pPr>
    <w:rPr>
      <w:rFonts w:ascii="Tahoma" w:hAnsi="Tahoma" w:cs="Tahoma"/>
      <w:color w:val="000080"/>
      <w:sz w:val="20"/>
      <w:szCs w:val="20"/>
    </w:rPr>
  </w:style>
  <w:style w:type="paragraph" w:styleId="BodyTextIndent">
    <w:name w:val="Body Text Indent"/>
    <w:basedOn w:val="Normal"/>
    <w:next w:val="BodyTextIndent"/>
    <w:pPr>
      <w:ind w:right="0" w:firstLine="708" w:left="0"/>
      <w:jc w:val="both"/>
    </w:pPr>
  </w:style>
  <w:style w:type="paragraph" w:styleId="UserStyle_81">
    <w:name w:val="Основной текст с отступом 2"/>
    <w:basedOn w:val="Normal"/>
    <w:next w:val="UserStyle_81"/>
    <w:pPr>
      <w:ind w:right="0" w:firstLine="708" w:left="0"/>
      <w:jc w:val="both"/>
    </w:pPr>
    <w:rPr>
      <w:szCs w:val="20"/>
    </w:rPr>
  </w:style>
  <w:style w:type="paragraph" w:styleId="UserStyle_82">
    <w:name w:val="Цитата"/>
    <w:basedOn w:val="Normal"/>
    <w:next w:val="UserStyle_82"/>
    <w:pPr>
      <w:spacing w:after="120" w:before="0"/>
      <w:ind w:right="-323" w:firstLine="0" w:left="708"/>
      <w:jc w:val="both"/>
    </w:pPr>
    <w:rPr>
      <w:sz w:val="22"/>
    </w:rPr>
  </w:style>
  <w:style w:type="paragraph" w:styleId="UserStyle_83">
    <w:name w:val="Красная строка 2"/>
    <w:basedOn w:val="BodyTextIndent"/>
    <w:next w:val="UserStyle_83"/>
    <w:pPr>
      <w:spacing w:after="120" w:before="0"/>
      <w:ind w:right="0" w:firstLine="210" w:left="283"/>
      <w:jc w:val="left"/>
    </w:pPr>
  </w:style>
  <w:style w:type="paragraph" w:styleId="UserStyle_84">
    <w:name w:val="Default"/>
    <w:next w:val="UserStyle_84"/>
    <w:pPr>
      <w:widowControl w:val="true"/>
      <w:bidi w:val="false"/>
    </w:pPr>
    <w:rPr>
      <w:rFonts w:ascii="Arial" w:hAnsi="Arial" w:eastAsia="Times New Roman" w:cs="Arial"/>
      <w:color w:val="000000"/>
      <w:sz w:val="24"/>
      <w:szCs w:val="24"/>
      <w:lang w:val="ru-RU" w:eastAsia="zh-CN" w:bidi="ar-SA"/>
    </w:rPr>
  </w:style>
  <w:style w:type="paragraph" w:styleId="UserStyle_85">
    <w:name w:val="Колонтитулы"/>
    <w:basedOn w:val="Normal"/>
    <w:next w:val="UserStyle_85"/>
    <w:pPr>
      <w:suppressLineNumbers w:val="true"/>
      <w:tabs>
        <w:tab w:val="center" w:leader="none" w:pos="4819"/>
        <w:tab w:val="right" w:leader="none" w:pos="9638"/>
      </w:tabs>
    </w:pPr>
  </w:style>
  <w:style w:type="paragraph" w:styleId="Footer">
    <w:name w:val="footer"/>
    <w:basedOn w:val="Normal"/>
    <w:next w:val="Footer"/>
    <w:link w:val="Normal"/>
    <w:pPr>
      <w:tabs>
        <w:tab w:val="center" w:leader="none" w:pos="4677"/>
        <w:tab w:val="right" w:leader="none" w:pos="9355"/>
      </w:tabs>
    </w:pPr>
  </w:style>
  <w:style w:type="paragraph" w:styleId="Index1">
    <w:name w:val="index 1"/>
    <w:basedOn w:val="Normal"/>
    <w:next w:val="Normal"/>
    <w:link w:val="Normal"/>
    <w:pPr>
      <w:ind w:right="0" w:hanging="240" w:left="240"/>
    </w:pPr>
    <w:rPr>
      <w:sz w:val="20"/>
      <w:szCs w:val="20"/>
    </w:rPr>
  </w:style>
  <w:style w:type="paragraph" w:styleId="Index2">
    <w:name w:val="index 2"/>
    <w:basedOn w:val="Normal"/>
    <w:next w:val="Normal"/>
    <w:link w:val="Normal"/>
    <w:pPr>
      <w:ind w:right="0" w:hanging="240" w:left="480"/>
    </w:pPr>
    <w:rPr>
      <w:sz w:val="20"/>
      <w:szCs w:val="20"/>
    </w:rPr>
  </w:style>
  <w:style w:type="paragraph" w:styleId="Index3">
    <w:name w:val="index 3"/>
    <w:basedOn w:val="Normal"/>
    <w:next w:val="Normal"/>
    <w:link w:val="Normal"/>
    <w:pPr>
      <w:ind w:right="0" w:hanging="240" w:left="720"/>
    </w:pPr>
    <w:rPr>
      <w:sz w:val="20"/>
      <w:szCs w:val="20"/>
    </w:rPr>
  </w:style>
  <w:style w:type="paragraph" w:styleId="UserStyle_86">
    <w:name w:val="Указатель 4"/>
    <w:basedOn w:val="Normal"/>
    <w:next w:val="Normal"/>
    <w:link w:val="Normal"/>
    <w:pPr>
      <w:ind w:right="0" w:hanging="240" w:left="960"/>
    </w:pPr>
    <w:rPr>
      <w:sz w:val="20"/>
      <w:szCs w:val="20"/>
    </w:rPr>
  </w:style>
  <w:style w:type="paragraph" w:styleId="UserStyle_87">
    <w:name w:val="Указатель 5"/>
    <w:basedOn w:val="Normal"/>
    <w:next w:val="Normal"/>
    <w:link w:val="Normal"/>
    <w:pPr>
      <w:ind w:right="0" w:hanging="240" w:left="1200"/>
    </w:pPr>
    <w:rPr>
      <w:sz w:val="20"/>
      <w:szCs w:val="20"/>
    </w:rPr>
  </w:style>
  <w:style w:type="paragraph" w:styleId="UserStyle_88">
    <w:name w:val="Указатель 6"/>
    <w:basedOn w:val="Normal"/>
    <w:next w:val="Normal"/>
    <w:link w:val="Normal"/>
    <w:pPr>
      <w:ind w:right="0" w:hanging="240" w:left="1440"/>
    </w:pPr>
    <w:rPr>
      <w:sz w:val="20"/>
      <w:szCs w:val="20"/>
    </w:rPr>
  </w:style>
  <w:style w:type="paragraph" w:styleId="UserStyle_89">
    <w:name w:val="Указатель 7"/>
    <w:basedOn w:val="Normal"/>
    <w:next w:val="Normal"/>
    <w:link w:val="Normal"/>
    <w:pPr>
      <w:ind w:right="0" w:hanging="240" w:left="1680"/>
    </w:pPr>
    <w:rPr>
      <w:sz w:val="20"/>
      <w:szCs w:val="20"/>
    </w:rPr>
  </w:style>
  <w:style w:type="paragraph" w:styleId="UserStyle_90">
    <w:name w:val="Указатель 8"/>
    <w:basedOn w:val="Normal"/>
    <w:next w:val="Normal"/>
    <w:link w:val="Normal"/>
    <w:pPr>
      <w:ind w:right="0" w:hanging="240" w:left="1920"/>
    </w:pPr>
    <w:rPr>
      <w:sz w:val="20"/>
      <w:szCs w:val="20"/>
    </w:rPr>
  </w:style>
  <w:style w:type="paragraph" w:styleId="UserStyle_91">
    <w:name w:val="Указатель 9"/>
    <w:basedOn w:val="Normal"/>
    <w:next w:val="Normal"/>
    <w:link w:val="Normal"/>
    <w:pPr>
      <w:ind w:right="0" w:hanging="240" w:left="2160"/>
    </w:pPr>
    <w:rPr>
      <w:sz w:val="20"/>
      <w:szCs w:val="20"/>
    </w:rPr>
  </w:style>
  <w:style w:type="paragraph" w:styleId="IndexHeading">
    <w:name w:val="index heading"/>
    <w:basedOn w:val="Normal"/>
    <w:next w:val="Index1"/>
    <w:link w:val="Normal"/>
    <w:pPr>
      <w:spacing w:after="120" w:before="120"/>
    </w:pPr>
    <w:rPr>
      <w:b/>
      <w:bCs/>
      <w:i/>
      <w:iCs/>
      <w:sz w:val="20"/>
      <w:szCs w:val="20"/>
    </w:rPr>
  </w:style>
  <w:style w:type="paragraph" w:styleId="TOC1">
    <w:name w:val="toc 1"/>
    <w:basedOn w:val="Normal"/>
    <w:next w:val="Normal"/>
    <w:pPr>
      <w:tabs>
        <w:tab w:val="left" w:leader="none" w:pos="720"/>
        <w:tab w:val="right" w:leader="dot" w:pos="10308"/>
      </w:tabs>
      <w:spacing w:after="120" w:before="120"/>
      <w:jc w:val="both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pPr>
      <w:ind w:right="0" w:firstLine="0"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link w:val="Normal"/>
    <w:pPr>
      <w:ind w:right="0" w:firstLine="0" w:left="480"/>
    </w:pPr>
    <w:rPr>
      <w:i/>
      <w:iCs/>
      <w:sz w:val="20"/>
      <w:szCs w:val="20"/>
    </w:rPr>
  </w:style>
  <w:style w:type="paragraph" w:styleId="UserStyle_92">
    <w:name w:val="Текст выноски"/>
    <w:basedOn w:val="Normal"/>
    <w:next w:val="UserStyle_92"/>
    <w:link w:val="Normal"/>
    <w:rPr>
      <w:rFonts w:ascii="Tahoma" w:hAnsi="Tahoma" w:cs="Tahoma"/>
      <w:sz w:val="16"/>
      <w:szCs w:val="16"/>
    </w:rPr>
  </w:style>
  <w:style w:type="paragraph" w:styleId="UserStyle_93">
    <w:name w:val="text"/>
    <w:basedOn w:val="Normal"/>
    <w:next w:val="UserStyle_93"/>
    <w:rPr>
      <w:rFonts w:eastAsia="Calibri"/>
      <w:sz w:val="19"/>
      <w:szCs w:val="19"/>
    </w:rPr>
  </w:style>
  <w:style w:type="paragraph" w:styleId="UserStyle_94">
    <w:name w:val="Схема документа"/>
    <w:basedOn w:val="Normal"/>
    <w:next w:val="UserStyle_94"/>
    <w:link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UserStyle_95">
    <w:name w:val="Prikaz"/>
    <w:basedOn w:val="Normal"/>
    <w:next w:val="UserStyle_95"/>
    <w:pPr>
      <w:ind w:right="0" w:firstLine="709" w:left="0"/>
      <w:jc w:val="both"/>
    </w:pPr>
    <w:rPr>
      <w:sz w:val="28"/>
      <w:szCs w:val="28"/>
    </w:rPr>
  </w:style>
  <w:style w:type="paragraph" w:styleId="UserStyle_96">
    <w:name w:val="Текст примечания"/>
    <w:basedOn w:val="Normal"/>
    <w:next w:val="UserStyle_96"/>
    <w:rPr>
      <w:sz w:val="20"/>
      <w:szCs w:val="20"/>
    </w:rPr>
  </w:style>
  <w:style w:type="paragraph" w:styleId="UserStyle_97">
    <w:name w:val="Тема примечания"/>
    <w:basedOn w:val="UserStyle_96"/>
    <w:next w:val="UserStyle_96"/>
    <w:link w:val="Normal"/>
    <w:rPr>
      <w:b/>
      <w:bCs/>
    </w:rPr>
  </w:style>
  <w:style w:type="paragraph" w:styleId="TOC4">
    <w:name w:val="toc 4"/>
    <w:basedOn w:val="Normal"/>
    <w:next w:val="Normal"/>
    <w:link w:val="Normal"/>
    <w:pPr>
      <w:ind w:right="0" w:firstLine="0" w:left="720"/>
    </w:pPr>
    <w:rPr>
      <w:sz w:val="18"/>
      <w:szCs w:val="18"/>
    </w:rPr>
  </w:style>
  <w:style w:type="paragraph" w:styleId="TOC5">
    <w:name w:val="toc 5"/>
    <w:basedOn w:val="Normal"/>
    <w:next w:val="Normal"/>
    <w:link w:val="Normal"/>
    <w:pPr>
      <w:ind w:right="0" w:firstLine="0" w:left="960"/>
    </w:pPr>
    <w:rPr>
      <w:sz w:val="18"/>
      <w:szCs w:val="18"/>
    </w:rPr>
  </w:style>
  <w:style w:type="paragraph" w:styleId="TOC6">
    <w:name w:val="toc 6"/>
    <w:basedOn w:val="Normal"/>
    <w:next w:val="Normal"/>
    <w:link w:val="Normal"/>
    <w:pPr>
      <w:ind w:right="0" w:firstLine="0" w:left="1200"/>
    </w:pPr>
    <w:rPr>
      <w:sz w:val="18"/>
      <w:szCs w:val="18"/>
    </w:rPr>
  </w:style>
  <w:style w:type="paragraph" w:styleId="TOC7">
    <w:name w:val="toc 7"/>
    <w:basedOn w:val="Normal"/>
    <w:next w:val="Normal"/>
    <w:link w:val="Normal"/>
    <w:pPr>
      <w:ind w:right="0" w:firstLine="0" w:left="1440"/>
    </w:pPr>
    <w:rPr>
      <w:sz w:val="18"/>
      <w:szCs w:val="18"/>
    </w:rPr>
  </w:style>
  <w:style w:type="paragraph" w:styleId="TOC8">
    <w:name w:val="toc 8"/>
    <w:basedOn w:val="Normal"/>
    <w:next w:val="Normal"/>
    <w:link w:val="Normal"/>
    <w:pPr>
      <w:ind w:right="0" w:firstLine="0" w:left="1680"/>
    </w:pPr>
    <w:rPr>
      <w:sz w:val="18"/>
      <w:szCs w:val="18"/>
    </w:rPr>
  </w:style>
  <w:style w:type="paragraph" w:styleId="TOC9">
    <w:name w:val="toc 9"/>
    <w:basedOn w:val="Normal"/>
    <w:next w:val="Normal"/>
    <w:link w:val="Normal"/>
    <w:pPr>
      <w:ind w:right="0" w:firstLine="0" w:left="1920"/>
    </w:pPr>
    <w:rPr>
      <w:sz w:val="18"/>
      <w:szCs w:val="18"/>
    </w:rPr>
  </w:style>
  <w:style w:type="paragraph" w:styleId="UserStyle_98">
    <w:name w:val="Основной текст с отступом 3"/>
    <w:basedOn w:val="Normal"/>
    <w:next w:val="UserStyle_98"/>
    <w:link w:val="Normal"/>
    <w:pPr>
      <w:ind w:right="0" w:firstLine="360" w:left="709"/>
    </w:pPr>
    <w:rPr>
      <w:szCs w:val="20"/>
    </w:rPr>
  </w:style>
  <w:style w:type="paragraph" w:styleId="UserStyle_99">
    <w:name w:val="Основной текст 3"/>
    <w:basedOn w:val="Normal"/>
    <w:next w:val="UserStyle_99"/>
    <w:link w:val="Normal"/>
    <w:rPr>
      <w:sz w:val="22"/>
      <w:szCs w:val="20"/>
    </w:rPr>
  </w:style>
  <w:style w:type="paragraph" w:styleId="UserStyle_100">
    <w:name w:val="xl44"/>
    <w:basedOn w:val="Normal"/>
    <w:next w:val="UserStyle_100"/>
    <w:link w:val="Normal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color w:val="000000"/>
      <w:sz w:val="18"/>
      <w:szCs w:val="18"/>
    </w:rPr>
  </w:style>
  <w:style w:type="paragraph" w:styleId="UserStyle_101">
    <w:name w:val="xl45"/>
    <w:basedOn w:val="Normal"/>
    <w:next w:val="UserStyle_101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4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2">
    <w:name w:val="xl46"/>
    <w:basedOn w:val="Normal"/>
    <w:next w:val="UserStyle_102"/>
    <w:pPr>
      <w:pBdr>
        <w:top w:val="single" w:color="000000" w:sz="8" w:space="0"/>
        <w:left w:val="none" w:color="000000" w:sz="0" w:space="0"/>
        <w:bottom w:val="none" w:color="000000" w:sz="0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3">
    <w:name w:val="xl47"/>
    <w:basedOn w:val="Normal"/>
    <w:next w:val="UserStyle_103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4">
    <w:name w:val="xl48"/>
    <w:basedOn w:val="Normal"/>
    <w:next w:val="UserStyle_104"/>
    <w:pPr>
      <w:pBdr>
        <w:top w:val="single" w:color="000000" w:sz="8" w:space="0"/>
        <w:left w:val="none" w:color="000000" w:sz="0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5">
    <w:name w:val="xl49"/>
    <w:basedOn w:val="Normal"/>
    <w:next w:val="UserStyle_105"/>
    <w:pPr>
      <w:pBdr>
        <w:top w:val="single" w:color="000000" w:sz="8" w:space="0"/>
        <w:left w:val="none" w:color="000000" w:sz="0" w:space="0"/>
        <w:bottom w:val="single" w:color="000000" w:sz="4" w:space="0"/>
        <w:right w:val="none" w:color="000000" w:sz="0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6">
    <w:name w:val="xl50"/>
    <w:basedOn w:val="Normal"/>
    <w:next w:val="UserStyle_106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7">
    <w:name w:val="xl51"/>
    <w:basedOn w:val="Normal"/>
    <w:next w:val="UserStyle_107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color w:val="000000"/>
      <w:sz w:val="18"/>
      <w:szCs w:val="18"/>
    </w:rPr>
  </w:style>
  <w:style w:type="paragraph" w:styleId="UserStyle_108">
    <w:name w:val="xl52"/>
    <w:basedOn w:val="Normal"/>
    <w:next w:val="UserStyle_108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4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9">
    <w:name w:val="xl53"/>
    <w:basedOn w:val="Normal"/>
    <w:next w:val="UserStyle_109"/>
    <w:pPr>
      <w:pBdr>
        <w:top w:val="single" w:color="000000" w:sz="4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UserStyle_110">
    <w:name w:val="xl54"/>
    <w:basedOn w:val="Normal"/>
    <w:next w:val="UserStyle_110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11">
    <w:name w:val="xl55"/>
    <w:basedOn w:val="Normal"/>
    <w:next w:val="UserStyle_111"/>
    <w:pPr>
      <w:pBdr>
        <w:top w:val="single" w:color="000000" w:sz="4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UserStyle_112">
    <w:name w:val="xl56"/>
    <w:basedOn w:val="Normal"/>
    <w:next w:val="UserStyle_112"/>
    <w:pPr>
      <w:pBdr>
        <w:top w:val="none" w:color="000000" w:sz="0" w:space="0"/>
        <w:left w:val="none" w:color="000000" w:sz="0" w:space="0"/>
        <w:bottom w:val="single" w:color="000000" w:sz="8" w:space="0"/>
        <w:right w:val="none" w:color="000000" w:sz="0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13">
    <w:name w:val="xl57"/>
    <w:basedOn w:val="Normal"/>
    <w:next w:val="UserStyle_113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UserStyle_114">
    <w:name w:val="xl58"/>
    <w:basedOn w:val="Normal"/>
    <w:next w:val="UserStyle_114"/>
    <w:link w:val="Normal"/>
    <w:pPr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5">
    <w:name w:val="xl59"/>
    <w:basedOn w:val="Normal"/>
    <w:next w:val="UserStyle_115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6">
    <w:name w:val="xl60"/>
    <w:basedOn w:val="Normal"/>
    <w:next w:val="UserStyle_116"/>
    <w:pPr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7">
    <w:name w:val="xl61"/>
    <w:basedOn w:val="Normal"/>
    <w:next w:val="UserStyle_117"/>
    <w:pPr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8">
    <w:name w:val="xl62"/>
    <w:basedOn w:val="Normal"/>
    <w:next w:val="UserStyle_118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9">
    <w:name w:val="xl63"/>
    <w:basedOn w:val="Normal"/>
    <w:next w:val="UserStyle_119"/>
    <w:link w:val="Normal"/>
    <w:pPr>
      <w:pBdr>
        <w:top w:val="none" w:color="000000" w:sz="0" w:space="0"/>
        <w:left w:val="none" w:color="000000" w:sz="0" w:space="0"/>
        <w:bottom w:val="none" w:color="000000" w:sz="0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0">
    <w:name w:val="xl64"/>
    <w:basedOn w:val="Normal"/>
    <w:next w:val="UserStyle_120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1">
    <w:name w:val="xl65"/>
    <w:basedOn w:val="Normal"/>
    <w:next w:val="UserStyle_121"/>
    <w:pP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2">
    <w:name w:val="xl66"/>
    <w:basedOn w:val="Normal"/>
    <w:next w:val="UserStyle_122"/>
    <w:link w:val="Normal"/>
    <w:pPr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3">
    <w:name w:val="xl67"/>
    <w:basedOn w:val="Normal"/>
    <w:next w:val="UserStyle_123"/>
    <w:pPr>
      <w:pBdr>
        <w:top w:val="single" w:color="000000" w:sz="4" w:space="0"/>
        <w:left w:val="none" w:color="000000" w:sz="0" w:space="0"/>
        <w:bottom w:val="none" w:color="000000" w:sz="0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4">
    <w:name w:val="xl68"/>
    <w:basedOn w:val="Normal"/>
    <w:next w:val="UserStyle_124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5">
    <w:name w:val="xl69"/>
    <w:basedOn w:val="Normal"/>
    <w:next w:val="UserStyle_125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6">
    <w:name w:val="xl70"/>
    <w:basedOn w:val="Normal"/>
    <w:next w:val="UserStyle_12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7">
    <w:name w:val="xl71"/>
    <w:basedOn w:val="Normal"/>
    <w:next w:val="UserStyle_127"/>
    <w:pPr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8">
    <w:name w:val="xl72"/>
    <w:basedOn w:val="Normal"/>
    <w:next w:val="UserStyle_128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9">
    <w:name w:val="xl73"/>
    <w:basedOn w:val="Normal"/>
    <w:next w:val="UserStyle_129"/>
    <w:pPr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0">
    <w:name w:val="xl74"/>
    <w:basedOn w:val="Normal"/>
    <w:next w:val="UserStyle_13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1">
    <w:name w:val="xl75"/>
    <w:basedOn w:val="Normal"/>
    <w:next w:val="UserStyle_131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2">
    <w:name w:val="xl76"/>
    <w:basedOn w:val="Normal"/>
    <w:next w:val="UserStyle_132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3">
    <w:name w:val="xl77"/>
    <w:basedOn w:val="Normal"/>
    <w:next w:val="UserStyle_133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4">
    <w:name w:val="xl78"/>
    <w:basedOn w:val="Normal"/>
    <w:next w:val="UserStyle_134"/>
    <w:link w:val="Normal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5">
    <w:name w:val="xl79"/>
    <w:basedOn w:val="Normal"/>
    <w:next w:val="UserStyle_135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6">
    <w:name w:val="xl80"/>
    <w:basedOn w:val="Normal"/>
    <w:next w:val="UserStyle_136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7">
    <w:name w:val="xl81"/>
    <w:basedOn w:val="Normal"/>
    <w:next w:val="UserStyle_137"/>
    <w:link w:val="Normal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8">
    <w:name w:val="xl82"/>
    <w:basedOn w:val="Normal"/>
    <w:next w:val="UserStyle_138"/>
    <w:pPr>
      <w:pBdr>
        <w:top w:val="single" w:color="000000" w:sz="4" w:space="0"/>
        <w:left w:val="none" w:color="000000" w:sz="0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9">
    <w:name w:val="xl83"/>
    <w:basedOn w:val="Normal"/>
    <w:next w:val="UserStyle_139"/>
    <w:pPr>
      <w:pBdr>
        <w:top w:val="single" w:color="000000" w:sz="4" w:space="0"/>
        <w:left w:val="none" w:color="000000" w:sz="0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0">
    <w:name w:val="xl84"/>
    <w:basedOn w:val="Normal"/>
    <w:next w:val="UserStyle_140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UserStyle_141">
    <w:name w:val="xl85"/>
    <w:basedOn w:val="Normal"/>
    <w:next w:val="UserStyle_141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42">
    <w:name w:val="xl86"/>
    <w:basedOn w:val="Normal"/>
    <w:next w:val="UserStyle_142"/>
    <w:pPr>
      <w:pBdr>
        <w:top w:val="none" w:color="000000" w:sz="0" w:space="0"/>
        <w:left w:val="none" w:color="000000" w:sz="0" w:space="0"/>
        <w:bottom w:val="single" w:color="000000" w:sz="8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43">
    <w:name w:val="xl87"/>
    <w:basedOn w:val="Normal"/>
    <w:next w:val="UserStyle_143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44">
    <w:name w:val="xl88"/>
    <w:basedOn w:val="Normal"/>
    <w:next w:val="UserStyle_144"/>
    <w:pPr>
      <w:pBdr>
        <w:top w:val="single" w:color="000000" w:sz="8" w:space="0"/>
        <w:left w:val="none" w:color="000000" w:sz="0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45">
    <w:name w:val="xl89"/>
    <w:basedOn w:val="Normal"/>
    <w:next w:val="UserStyle_145"/>
    <w:pPr>
      <w:pBdr>
        <w:top w:val="none" w:color="000000" w:sz="0" w:space="0"/>
        <w:left w:val="none" w:color="000000" w:sz="0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6">
    <w:name w:val="xl90"/>
    <w:basedOn w:val="Normal"/>
    <w:next w:val="UserStyle_146"/>
    <w:link w:val="Normal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7">
    <w:name w:val="xl91"/>
    <w:basedOn w:val="Normal"/>
    <w:next w:val="UserStyle_147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8">
    <w:name w:val="xl92"/>
    <w:basedOn w:val="Normal"/>
    <w:next w:val="UserStyle_148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9">
    <w:name w:val="xl93"/>
    <w:basedOn w:val="Normal"/>
    <w:next w:val="UserStyle_149"/>
    <w:pPr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0">
    <w:name w:val="xl94"/>
    <w:basedOn w:val="Normal"/>
    <w:next w:val="UserStyle_150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1">
    <w:name w:val="xl95"/>
    <w:basedOn w:val="Normal"/>
    <w:next w:val="UserStyle_151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2">
    <w:name w:val="xl96"/>
    <w:basedOn w:val="Normal"/>
    <w:next w:val="UserStyle_152"/>
    <w:pPr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3">
    <w:name w:val="xl97"/>
    <w:basedOn w:val="Normal"/>
    <w:next w:val="UserStyle_153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4">
    <w:name w:val="xl98"/>
    <w:basedOn w:val="Normal"/>
    <w:next w:val="UserStyle_154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5">
    <w:name w:val="xl99"/>
    <w:basedOn w:val="Normal"/>
    <w:next w:val="UserStyle_155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6">
    <w:name w:val="xl43"/>
    <w:basedOn w:val="Normal"/>
    <w:next w:val="UserStyle_156"/>
    <w:pPr>
      <w:pBdr>
        <w:top w:val="single" w:color="000000" w:sz="4" w:space="0"/>
        <w:left w:val="none" w:color="000000" w:sz="0" w:space="0"/>
        <w:bottom w:val="none" w:color="000000" w:sz="0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7">
    <w:name w:val="xl40"/>
    <w:basedOn w:val="Normal"/>
    <w:next w:val="UserStyle_15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Unicode MS" w:hAnsi="Arial Unicode MS" w:eastAsia="Arial Unicode MS" w:cs="Arial Unicode MS"/>
    </w:rPr>
  </w:style>
  <w:style w:type="paragraph" w:styleId="UserStyle_158">
    <w:name w:val="xl41"/>
    <w:basedOn w:val="Normal"/>
    <w:next w:val="UserStyle_158"/>
    <w:link w:val="Normal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Unicode MS" w:hAnsi="Arial Unicode MS" w:eastAsia="Arial Unicode MS" w:cs="Arial Unicode MS"/>
    </w:rPr>
  </w:style>
  <w:style w:type="paragraph" w:styleId="UserStyle_159">
    <w:name w:val="xl42"/>
    <w:basedOn w:val="Normal"/>
    <w:next w:val="UserStyle_15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Header">
    <w:name w:val="header"/>
    <w:basedOn w:val="Normal"/>
    <w:next w:val="Header"/>
    <w:pPr>
      <w:tabs>
        <w:tab w:val="center" w:leader="none" w:pos="4677"/>
        <w:tab w:val="right" w:leader="none" w:pos="9355"/>
      </w:tabs>
    </w:pPr>
    <w:rPr>
      <w:sz w:val="20"/>
      <w:szCs w:val="20"/>
    </w:rPr>
  </w:style>
  <w:style w:type="paragraph" w:styleId="UserStyle_160">
    <w:name w:val="b-article__paragraph"/>
    <w:basedOn w:val="Normal"/>
    <w:next w:val="UserStyle_160"/>
    <w:link w:val="Normal"/>
    <w:pPr>
      <w:spacing w:after="156" w:before="0" w:line="372" w:lineRule="atLeast"/>
    </w:pPr>
    <w:rPr>
      <w:rFonts w:ascii="Georgia" w:hAnsi="Georgia" w:cs="Georgia"/>
      <w:sz w:val="25"/>
      <w:szCs w:val="25"/>
    </w:rPr>
  </w:style>
  <w:style w:type="paragraph" w:styleId="UserStyle_161">
    <w:name w:val="Стиль1"/>
    <w:basedOn w:val="Heading3"/>
    <w:next w:val="UserStyle_161"/>
    <w:pPr>
      <w:numPr>
        <w:ilvl w:val="0"/>
        <w:numId w:val="18"/>
      </w:numPr>
      <w:outlineLvl w:val="9"/>
    </w:pPr>
    <w:rPr>
      <w:sz w:val="22"/>
      <w:szCs w:val="22"/>
    </w:rPr>
  </w:style>
  <w:style w:type="paragraph" w:styleId="UserStyle_162">
    <w:name w:val="Абзац списка"/>
    <w:basedOn w:val="Normal"/>
    <w:next w:val="UserStyle_162"/>
    <w:link w:val="Normal"/>
    <w:pPr>
      <w:spacing w:after="0" w:before="0"/>
      <w:ind w:right="0" w:firstLine="0" w:left="720"/>
      <w:contextualSpacing w:val="true"/>
    </w:pPr>
    <w:rPr>
      <w:rFonts w:ascii="Cambria" w:hAnsi="Cambria" w:eastAsia="Cambria" w:cs="Cambria"/>
    </w:rPr>
  </w:style>
  <w:style w:type="paragraph" w:styleId="UserStyle_163">
    <w:name w:val="Содержимое таблицы"/>
    <w:basedOn w:val="Normal"/>
    <w:next w:val="UserStyle_163"/>
    <w:link w:val="Normal"/>
    <w:pPr>
      <w:widowControl w:val="false"/>
      <w:suppressLineNumbers w:val="true"/>
    </w:pPr>
  </w:style>
  <w:style w:type="paragraph" w:styleId="UserStyle_164">
    <w:name w:val="Заголовок таблицы"/>
    <w:basedOn w:val="UserStyle_163"/>
    <w:next w:val="UserStyle_164"/>
    <w:link w:val="Normal"/>
    <w:pPr>
      <w:suppressLineNumbers w:val="true"/>
      <w:jc w:val="center"/>
    </w:pPr>
    <w:rPr>
      <w:b/>
      <w:bCs/>
    </w:rPr>
  </w:style>
  <w:style w:type="paragraph" w:styleId="UserStyle_165">
    <w:name w:val="Содержимое врезки"/>
    <w:basedOn w:val="Normal"/>
    <w:next w:val="UserStyle_165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jp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ac00</dc:creator>
  <cp:lastModifiedBy>Елисеев Денис Сергеевич</cp:lastModifiedBy>
  <cp:revision>41</cp:revision>
  <dcterms:created xsi:type="dcterms:W3CDTF">2025-04-21T08:57:00Z</dcterms:created>
  <dcterms:modified xsi:type="dcterms:W3CDTF">2026-05-13T08:03:00Z</dcterms:modified>
</cp:coreProperties>
</file>