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UserStyle_3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Акционерное общество «ИНФА-ОТЕЛЬ» </w:t>
      </w:r>
      <w:r>
        <w:rPr>
          <w:b/>
          <w:sz w:val="22"/>
          <w:szCs w:val="22"/>
        </w:rPr>
      </w:r>
    </w:p>
    <w:p>
      <w:pPr>
        <w:pStyle w:val="UserStyle_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109012, г. Москва, ул. Рождественка, д. 3/6, стр. 1</w:t>
      </w:r>
      <w:r>
        <w:rPr>
          <w:b/>
          <w:sz w:val="22"/>
          <w:szCs w:val="22"/>
        </w:rPr>
      </w:r>
    </w:p>
    <w:p>
      <w:pPr>
        <w:pStyle w:val="UserStyle_3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ubtitle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СООБЩЕНИЕ </w:t>
      </w:r>
      <w:r>
        <w:rPr>
          <w:b/>
          <w:i/>
          <w:sz w:val="22"/>
          <w:szCs w:val="22"/>
        </w:rPr>
      </w:r>
    </w:p>
    <w:p>
      <w:pPr>
        <w:pStyle w:val="Normal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Уважаемый акционер!</w:t>
      </w: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АО «ИНФА-ОТЕЛЬ» (далее – «Общество») настоящим уведомляет, что Совет директоров Общества принял решение о проведении годового заседания общего собрания акционеров Общества по итогам 2025 года.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 принятия решений годовым заседанием общего собрания акционеров: заседание общего собрания акционеров, голосование на котором совмещается с заочным голосованием.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Дата, время и место проведения годового заседания общего собрания акционеров: </w:t>
      </w:r>
      <w:r>
        <w:rPr>
          <w:b/>
          <w:sz w:val="22"/>
          <w:szCs w:val="22"/>
        </w:rPr>
        <w:t xml:space="preserve">«05» июня 2026 г.</w:t>
      </w:r>
      <w:r>
        <w:rPr>
          <w:sz w:val="22"/>
          <w:szCs w:val="22"/>
        </w:rPr>
        <w:t xml:space="preserve"> в 15.00 часов по адресу: г. Москва, ул. Рождественка, д. 3/6, стр.1, время начала регистрации акционеров: 14.30 часов.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Почтовые адреса, по которым направляются заполненные бюллетени для голосования: 109012, г. Москва, ул. Рождественка, д. 3/6, стр. 1 или 101000, г. Москва, а/я 277, ООО «Московский Фондовый Центр».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bookmarkStart w:id="0" w:name="_Hlk196226309"/>
      <w:r>
        <w:rPr>
          <w:sz w:val="22"/>
          <w:szCs w:val="22"/>
        </w:rPr>
        <w:t xml:space="preserve">Дата окончания приема бюллетеней для голосования: </w:t>
      </w:r>
      <w:r>
        <w:rPr>
          <w:b/>
          <w:sz w:val="22"/>
          <w:szCs w:val="22"/>
        </w:rPr>
        <w:t xml:space="preserve">«02» июня 2026 г.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bookmarkEnd w:id="0"/>
      <w:r>
        <w:rPr>
          <w:sz w:val="22"/>
          <w:szCs w:val="22"/>
        </w:rPr>
        <w:t xml:space="preserve">Дата определения (фиксации) лиц, имеющих право голоса при принятии решений годового заседания общего собрания акционеров: </w:t>
      </w:r>
      <w:r>
        <w:rPr>
          <w:b/>
          <w:sz w:val="22"/>
          <w:szCs w:val="22"/>
        </w:rPr>
        <w:t xml:space="preserve">«12» мая 2026 г.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Категории (типы) акций, владельцы которых имеют право голоса по вопросам повестки дня: обыкновенные акции.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Повестка дня годового заседания общего собрания акционеров: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Start w:id="1" w:name="_Hlk196223590"/>
      <w:r>
        <w:rPr>
          <w:sz w:val="22"/>
          <w:szCs w:val="22"/>
        </w:rPr>
        <w:t xml:space="preserve">Утверждение годового отчета Общества за 2025 год.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Утверждение годовой бухгалтерской (финансовой) отчетности Общества за 2025 год.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Start w:id="2" w:name="_Hlk196395163"/>
      <w:bookmarkStart w:id="3" w:name="_Hlk196223948"/>
      <w:r>
        <w:rPr>
          <w:sz w:val="22"/>
          <w:szCs w:val="22"/>
        </w:rPr>
        <w:t xml:space="preserve">О выплате (объявлении) дивидендов.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End w:id="1"/>
      <w:r>
        <w:rPr>
          <w:sz w:val="22"/>
          <w:szCs w:val="22"/>
        </w:rPr>
        <w:t xml:space="preserve">Распределение прибыли и убытков Общества по результатам 2025 года.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аудиторской организации Общества на 2026 год.</w:t>
      </w:r>
      <w:bookmarkEnd w:id="2"/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Избрание Ревизионной комиссии Общества.</w:t>
      </w:r>
      <w:bookmarkStart w:id="4" w:name="_Hlk196224531"/>
      <w:bookmarkStart w:id="5" w:name="_Hlk196224399"/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End w:id="3"/>
      <w:r>
        <w:rPr>
          <w:sz w:val="22"/>
          <w:szCs w:val="22"/>
        </w:rPr>
        <w:t xml:space="preserve">Избрание Совета директоров Общества.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bookmarkEnd w:id="4"/>
      <w:bookmarkEnd w:id="5"/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Лица, имеющие право на участие в годовом заседании общего собрания акционеров, имеют право ознакомиться с информацией (материалами), подлежащей предоставлению при подготовке к проведению годового заседания общего собрания акционеров, в течение 20 дней до даты проведения годового заседания общего собрания акционеров по рабочим дням с 10.00 час. до 17.00 час. по адресу: 109012, г. Москва, ул. Рождественка, д.3/6, стр.1. 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телефоны: (495) 620-85-53.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Сообщаем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Общества.</w:t>
      </w:r>
      <w:r>
        <w:rPr>
          <w:sz w:val="22"/>
          <w:szCs w:val="22"/>
        </w:rPr>
      </w:r>
    </w:p>
    <w:p>
      <w:pPr>
        <w:pStyle w:val="Heading2"/>
        <w:numPr>
          <w:ilvl w:val="1"/>
          <w:numId w:val="1"/>
        </w:numPr>
        <w:ind w:firstLine="0" w:left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1"/>
        </w:numPr>
        <w:ind w:firstLine="0"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Совет директоров АО «ИНФА-ОТЕЛЬ»</w:t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539" w:right="991" w:bottom="1135" w:left="1440"/>
      <w:pgNumType w:fmt="none"/>
      <w:bidi w:val="false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Droid Sans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1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2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3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4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5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6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7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8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</w:abstractNum>
  <w:abstractNum w:abstractNumId="1">
    <w:multiLevelType w:val="singleLevel"/>
    <w:nsid w:val="00000002"/>
    <w:lvl w:ilvl="0">
      <w:lvlJc w:val="left"/>
      <w:lvlText w:val="%1."/>
      <w:numFmt w:val="decimal"/>
      <w:pPr>
        <w:tabs>
          <w:tab w:val="num" w:leader="none" w:pos="0"/>
        </w:tabs>
        <w:ind w:hanging="360" w:left="1068"/>
      </w:p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0"/>
  <w:displayVerticalDrawingGridEvery w:val="0"/>
  <w:characterSpacingControl w:val="doNotCompress"/>
  <w:footnotePr>
    <w:footnote w:id="-1"/>
    <w:footnote w:id="0"/>
  </w:footnotePr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pPr>
      <w:keepNext w:val="true"/>
      <w:numPr>
        <w:ilvl w:val="0"/>
        <w:numId w:val="1"/>
      </w:numPr>
      <w:ind w:right="0" w:firstLine="720" w:left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pPr>
      <w:keepNext w:val="true"/>
      <w:numPr>
        <w:ilvl w:val="1"/>
        <w:numId w:val="1"/>
      </w:numPr>
      <w:jc w:val="both"/>
      <w:outlineLvl w:val="1"/>
    </w:pPr>
    <w:rPr>
      <w:b/>
      <w:sz w:val="18"/>
    </w:rPr>
  </w:style>
  <w:style w:type="paragraph" w:styleId="Heading3">
    <w:name w:val="heading 3"/>
    <w:basedOn w:val="Normal"/>
    <w:next w:val="Normal"/>
    <w:pPr>
      <w:keepNext w:val="true"/>
      <w:numPr>
        <w:ilvl w:val="2"/>
        <w:numId w:val="1"/>
      </w:numPr>
      <w:ind w:right="0" w:firstLine="720" w:left="1440"/>
      <w:jc w:val="both"/>
      <w:outlineLvl w:val="2"/>
    </w:pPr>
    <w:rPr>
      <w:b/>
      <w:sz w:val="20"/>
      <w:szCs w:val="20"/>
    </w:rPr>
  </w:style>
  <w:style w:type="character" w:styleId="UserStyle_0">
    <w:name w:val="WW8Num1z0"/>
    <w:next w:val="UserStyle_0"/>
    <w:link w:val="Normal"/>
  </w:style>
  <w:style w:type="character" w:styleId="UserStyle_1">
    <w:name w:val="WW8Num2z0"/>
    <w:next w:val="UserStyle_1"/>
    <w:link w:val="Normal"/>
  </w:style>
  <w:style w:type="character" w:styleId="UserStyle_2">
    <w:name w:val="Основной шрифт абзаца"/>
    <w:next w:val="UserStyle_2"/>
    <w:link w:val="Normal"/>
  </w:style>
  <w:style w:type="paragraph" w:styleId="UserStyle_3">
    <w:name w:val="Заголовок"/>
    <w:basedOn w:val="Normal"/>
    <w:next w:val="BodyText"/>
    <w:link w:val="Normal"/>
    <w:pPr>
      <w:jc w:val="center"/>
    </w:pPr>
    <w:rPr>
      <w:szCs w:val="20"/>
    </w:rPr>
  </w:style>
  <w:style w:type="paragraph" w:styleId="BodyText">
    <w:name w:val="Body Text"/>
    <w:basedOn w:val="Normal"/>
    <w:next w:val="BodyText"/>
    <w:pPr>
      <w:jc w:val="right"/>
    </w:pPr>
    <w:rPr>
      <w:b/>
      <w:bCs/>
    </w:rPr>
  </w:style>
  <w:style w:type="paragraph" w:styleId="List">
    <w:name w:val="List"/>
    <w:basedOn w:val="BodyText"/>
    <w:next w:val="List"/>
    <w:link w:val="Normal"/>
    <w:rPr>
      <w:rFonts w:cs="Droid Sans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cs="Droid Sans"/>
      <w:i/>
      <w:iCs/>
      <w:sz w:val="24"/>
      <w:szCs w:val="24"/>
    </w:rPr>
  </w:style>
  <w:style w:type="paragraph" w:styleId="UserStyle_4">
    <w:name w:val="Указатель"/>
    <w:basedOn w:val="Normal"/>
    <w:next w:val="UserStyle_4"/>
    <w:pPr>
      <w:suppressLineNumbers w:val="true"/>
    </w:pPr>
    <w:rPr>
      <w:rFonts w:cs="Droid Sans"/>
    </w:rPr>
  </w:style>
  <w:style w:type="paragraph" w:styleId="BodyTextIndent">
    <w:name w:val="Body Text Indent"/>
    <w:basedOn w:val="Normal"/>
    <w:next w:val="BodyTextIndent"/>
    <w:link w:val="Normal"/>
    <w:pPr>
      <w:ind w:right="0" w:firstLine="540" w:left="0"/>
      <w:jc w:val="both"/>
    </w:pPr>
  </w:style>
  <w:style w:type="paragraph" w:styleId="Subtitle">
    <w:name w:val="Subtitle"/>
    <w:basedOn w:val="Normal"/>
    <w:next w:val="BodyText"/>
    <w:pPr>
      <w:jc w:val="center"/>
    </w:pPr>
    <w:rPr>
      <w:b/>
      <w:caps/>
    </w:rPr>
  </w:style>
  <w:style w:type="paragraph" w:styleId="UserStyle_5">
    <w:name w:val="Основной текст с отступом 2"/>
    <w:basedOn w:val="Normal"/>
    <w:next w:val="UserStyle_5"/>
    <w:link w:val="Normal"/>
    <w:pPr>
      <w:ind w:right="0" w:firstLine="540" w:left="0"/>
      <w:jc w:val="both"/>
    </w:pPr>
    <w:rPr>
      <w:sz w:val="22"/>
    </w:rPr>
  </w:style>
  <w:style w:type="paragraph" w:styleId="UserStyle_6">
    <w:name w:val="Основной текст с отступом 3"/>
    <w:basedOn w:val="Normal"/>
    <w:next w:val="UserStyle_6"/>
    <w:pPr>
      <w:ind w:right="0" w:firstLine="708" w:left="0"/>
      <w:jc w:val="both"/>
    </w:pPr>
    <w:rPr>
      <w:sz w:val="22"/>
    </w:rPr>
  </w:style>
  <w:style w:type="paragraph" w:styleId="UserStyle_7">
    <w:name w:val="Body Text 2"/>
    <w:basedOn w:val="Normal"/>
    <w:next w:val="UserStyle_7"/>
    <w:pPr>
      <w:ind w:right="0" w:firstLine="0" w:left="709"/>
      <w:jc w:val="both"/>
    </w:pPr>
    <w:rPr>
      <w:b/>
      <w:sz w:val="28"/>
      <w:szCs w:val="20"/>
    </w:rPr>
  </w:style>
  <w:style w:type="paragraph" w:styleId="UserStyle_8">
    <w:name w:val="Основной текст 2"/>
    <w:basedOn w:val="Normal"/>
    <w:next w:val="UserStyle_8"/>
    <w:link w:val="Normal"/>
    <w:pPr>
      <w:tabs>
        <w:tab w:val="left" w:leader="none" w:pos="900"/>
      </w:tabs>
      <w:jc w:val="both"/>
    </w:pPr>
    <w:rPr>
      <w:iCs/>
      <w:sz w:val="20"/>
    </w:rPr>
  </w:style>
  <w:style w:type="paragraph" w:styleId="UserStyle_9">
    <w:name w:val="FR1"/>
    <w:next w:val="UserStyle_9"/>
    <w:link w:val="Normal"/>
    <w:pPr>
      <w:widowControl w:val="false"/>
      <w:bidi w:val="false"/>
      <w:spacing w:line="338" w:lineRule="auto"/>
      <w:ind w:right="0" w:firstLine="720" w:left="0"/>
      <w:jc w:val="both"/>
    </w:pPr>
    <w:rPr>
      <w:rFonts w:ascii="Arial" w:hAnsi="Arial" w:eastAsia="Times New Roman" w:cs="Arial"/>
      <w:i/>
      <w:color w:val="auto"/>
      <w:sz w:val="20"/>
      <w:szCs w:val="20"/>
      <w:lang w:val="ru-RU" w:eastAsia="zh-CN" w:bidi="ar-SA"/>
    </w:rPr>
  </w:style>
  <w:style w:type="paragraph" w:styleId="UserStyle_10">
    <w:name w:val="Текст выноски"/>
    <w:basedOn w:val="Normal"/>
    <w:next w:val="UserStyle_10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внеочередного общего собрания акционеров</dc:title>
  <dc:creator>.</dc:creator>
  <cp:lastModifiedBy>Елисеев Денис Сергеевич</cp:lastModifiedBy>
  <cp:revision>70</cp:revision>
  <dcterms:created xsi:type="dcterms:W3CDTF">2009-04-08T11:03:00Z</dcterms:created>
  <dcterms:modified xsi:type="dcterms:W3CDTF">2026-04-29T10:09:00Z</dcterms:modified>
</cp:coreProperties>
</file>